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1EA" w:rsidRDefault="00EF4B63">
      <w:pPr>
        <w:pStyle w:val="Nagwek1"/>
        <w:spacing w:after="240" w:line="264" w:lineRule="auto"/>
        <w:jc w:val="center"/>
        <w:rPr>
          <w:rFonts w:ascii="Lato, sans-serif" w:hAnsi="Lato, sans-serif" w:hint="eastAsia"/>
          <w:b w:val="0"/>
          <w:color w:val="000000"/>
          <w:sz w:val="37"/>
        </w:rPr>
      </w:pPr>
      <w:bookmarkStart w:id="0" w:name="_GoBack"/>
      <w:bookmarkEnd w:id="0"/>
      <w:r>
        <w:rPr>
          <w:rFonts w:ascii="Lato, sans-serif" w:hAnsi="Lato, sans-serif"/>
          <w:b w:val="0"/>
          <w:color w:val="000000"/>
          <w:sz w:val="37"/>
        </w:rPr>
        <w:t>Standardy Ochrony Dzieci</w:t>
      </w:r>
    </w:p>
    <w:p w:rsidR="00BF01EA" w:rsidRDefault="00EF4B63">
      <w:pPr>
        <w:pStyle w:val="Textbody"/>
        <w:spacing w:after="150"/>
        <w:jc w:val="center"/>
        <w:rPr>
          <w:rFonts w:hint="eastAsia"/>
        </w:rPr>
      </w:pPr>
      <w:r>
        <w:rPr>
          <w:rStyle w:val="StrongEmphasis"/>
          <w:rFonts w:ascii="Lato, sans-serif" w:hAnsi="Lato, sans-serif"/>
          <w:color w:val="000000"/>
          <w:sz w:val="27"/>
        </w:rPr>
        <w:t>Standardy Ochrony Małoletnich</w:t>
      </w:r>
      <w:r>
        <w:rPr>
          <w:rStyle w:val="StrongEmphasis"/>
          <w:rFonts w:ascii="Lato, sans-serif" w:hAnsi="Lato, sans-serif"/>
          <w:color w:val="000000"/>
          <w:sz w:val="27"/>
        </w:rPr>
        <w:br/>
      </w:r>
      <w:r>
        <w:rPr>
          <w:rStyle w:val="StrongEmphasis"/>
          <w:rFonts w:ascii="Lato, sans-serif" w:hAnsi="Lato, sans-serif"/>
          <w:color w:val="000000"/>
          <w:sz w:val="27"/>
        </w:rPr>
        <w:t>(też: Standardy Ochrony Dzieci)</w:t>
      </w:r>
    </w:p>
    <w:p w:rsidR="00BF01EA" w:rsidRDefault="00EF4B63">
      <w:pPr>
        <w:pStyle w:val="Textbody"/>
        <w:spacing w:after="150"/>
        <w:jc w:val="center"/>
        <w:rPr>
          <w:rFonts w:hint="eastAsia"/>
        </w:rPr>
      </w:pPr>
      <w:r>
        <w:rPr>
          <w:rStyle w:val="StrongEmphasis"/>
          <w:rFonts w:ascii="Lato, sans-serif" w:hAnsi="Lato, sans-serif"/>
          <w:color w:val="000000"/>
          <w:sz w:val="27"/>
        </w:rPr>
        <w:t>w gabinecie stomatologicznym  Indywidualna Praktyka Lekarska</w:t>
      </w:r>
    </w:p>
    <w:p w:rsidR="00BF01EA" w:rsidRDefault="00EF4B63">
      <w:pPr>
        <w:pStyle w:val="Textbody"/>
        <w:spacing w:after="150"/>
        <w:jc w:val="center"/>
        <w:rPr>
          <w:rFonts w:hint="eastAsia"/>
        </w:rPr>
      </w:pPr>
      <w:r>
        <w:rPr>
          <w:rStyle w:val="StrongEmphasis"/>
          <w:rFonts w:ascii="Lato, sans-serif" w:hAnsi="Lato, sans-serif"/>
          <w:color w:val="000000"/>
          <w:sz w:val="27"/>
        </w:rPr>
        <w:t>lek.dent. Patrycja Ślusarczyk</w:t>
      </w:r>
    </w:p>
    <w:p w:rsidR="00BF01EA" w:rsidRDefault="00EF4B63">
      <w:pPr>
        <w:pStyle w:val="Textbody"/>
        <w:spacing w:after="150"/>
        <w:jc w:val="center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Nagwek3"/>
        <w:pBdr>
          <w:bottom w:val="single" w:sz="2" w:space="8" w:color="E5E5E5"/>
        </w:pBdr>
        <w:spacing w:before="240" w:after="240" w:line="264" w:lineRule="auto"/>
        <w:jc w:val="both"/>
        <w:rPr>
          <w:rFonts w:ascii="inherit" w:hAnsi="inherit" w:hint="eastAsia"/>
          <w:color w:val="000000"/>
          <w:sz w:val="30"/>
        </w:rPr>
      </w:pPr>
      <w:bookmarkStart w:id="1" w:name="_Toc174199203"/>
      <w:bookmarkEnd w:id="1"/>
      <w:r>
        <w:rPr>
          <w:rFonts w:ascii="inherit" w:hAnsi="inherit"/>
          <w:color w:val="000000"/>
          <w:sz w:val="30"/>
        </w:rPr>
        <w:t>Rozdział I. Postanowienia ogólne, cele i definicje.</w:t>
      </w:r>
    </w:p>
    <w:p w:rsidR="00BF01EA" w:rsidRDefault="00EF4B63">
      <w:pPr>
        <w:pStyle w:val="Textbody"/>
        <w:numPr>
          <w:ilvl w:val="0"/>
          <w:numId w:val="1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Działając na podstawie art. 22b ustawy z dnia 13 maja 2016 r. o przeciwdziałaniu zagrożeniom przestępczością ma tle seksualnym i ochronie małoletnich (tekst jedn. Dz. U. 2023, poz. 1304) Patrycja Ślusarcz</w:t>
      </w:r>
      <w:r>
        <w:rPr>
          <w:rFonts w:ascii="Lato, sans-serif" w:hAnsi="Lato, sans-serif"/>
          <w:color w:val="000000"/>
          <w:sz w:val="27"/>
        </w:rPr>
        <w:t>yk działający pod firmą Patrycja Ślusarczyk – Indywidualna Praktyka Lekarska z siedzibą w Słopnicach 984 (kod 34-615), posiadający NIP 7372022390, prowadzący gabinet stomatologiczny pod nazwą Indywidualna Praktyka Lekarska lek.dent. Patrycja Ślusarczyk  wp</w:t>
      </w:r>
      <w:r>
        <w:rPr>
          <w:rFonts w:ascii="Lato, sans-serif" w:hAnsi="Lato, sans-serif"/>
          <w:color w:val="000000"/>
          <w:sz w:val="27"/>
        </w:rPr>
        <w:t>rowadziła niniejsze Standardy Ochrony Małoletnich (dalej: Standardy) w związku z obowiązkami prawnymi nałożonymi ustawą z dnia 13 maja 2016 r. o przeciwdziałaniu zagrożeniom przestępczością na tle seksualnym i ochronie małoletnich.</w:t>
      </w:r>
    </w:p>
    <w:p w:rsidR="00BF01EA" w:rsidRDefault="00EF4B63">
      <w:pPr>
        <w:pStyle w:val="Textbody"/>
        <w:numPr>
          <w:ilvl w:val="0"/>
          <w:numId w:val="1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Standardy obowiązują wsz</w:t>
      </w:r>
      <w:r>
        <w:rPr>
          <w:rFonts w:ascii="Lato, sans-serif" w:hAnsi="Lato, sans-serif"/>
          <w:color w:val="000000"/>
          <w:sz w:val="27"/>
        </w:rPr>
        <w:t>ystkich członków personelu, pacjentów, osoby towarzyszące pacjentom w szczególności rodziców, opiekunów prawnych i faktycznych, a także inne osoby przebywające na terenie gabinetu stomatologicznego.</w:t>
      </w:r>
    </w:p>
    <w:p w:rsidR="00BF01EA" w:rsidRDefault="00EF4B63">
      <w:pPr>
        <w:pStyle w:val="Textbody"/>
        <w:numPr>
          <w:ilvl w:val="0"/>
          <w:numId w:val="1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Naczelną zasadą wszystkich działań podejmowanych przez cz</w:t>
      </w:r>
      <w:r>
        <w:rPr>
          <w:rFonts w:ascii="Lato, sans-serif" w:hAnsi="Lato, sans-serif"/>
          <w:color w:val="000000"/>
          <w:sz w:val="27"/>
        </w:rPr>
        <w:t>łonków personelu gabinetu stomatologicznego lek.dent, Patrycji Ślusarczyk jest działanie dla dobra dziecka i w jego najlepszym interesie. Personel gabinetu stomatologicznego traktuje dziecko z szacunkiem oraz w miarę możliwości uwzględnia jego potrzeby. Ni</w:t>
      </w:r>
      <w:r>
        <w:rPr>
          <w:rFonts w:ascii="Lato, sans-serif" w:hAnsi="Lato, sans-serif"/>
          <w:color w:val="000000"/>
          <w:sz w:val="27"/>
        </w:rPr>
        <w:t>edopuszczalne jest stosowanie przez personel gabinetu stomatologicznego wobec dziecka przemocy w jakiejkolwiek formie. Gabinet stomatologiczny uznaje szczególną rolę pracowników ochrony zdrowia w identyfikacji przemocy wobec dzieci, reagowaniu na nią i zap</w:t>
      </w:r>
      <w:r>
        <w:rPr>
          <w:rFonts w:ascii="Lato, sans-serif" w:hAnsi="Lato, sans-serif"/>
          <w:color w:val="000000"/>
          <w:sz w:val="27"/>
        </w:rPr>
        <w:t>ewnieniu dziecku bezpieczeństwa. Realizując te cele, personel gabinetu stomatologicznego działa w ramach obowiązującego prawa, przepisów wewnętrznych oraz swoich kompetencji.</w:t>
      </w:r>
    </w:p>
    <w:p w:rsidR="00BF01EA" w:rsidRDefault="00EF4B63">
      <w:pPr>
        <w:pStyle w:val="Textbody"/>
        <w:numPr>
          <w:ilvl w:val="0"/>
          <w:numId w:val="1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 xml:space="preserve">Za wdrożenie, realizację i nadzór nad wykonaniem Standardów odpowiada prowadzący </w:t>
      </w:r>
      <w:r>
        <w:rPr>
          <w:rFonts w:ascii="Lato, sans-serif" w:hAnsi="Lato, sans-serif"/>
          <w:color w:val="000000"/>
          <w:sz w:val="27"/>
        </w:rPr>
        <w:t>placówkę lub osoba przez niego upoważniona na piśmie. Postanowienia Standardów dotyczących prowadzącego placówkę stosuje się odpowiednio do osoby upoważnionej, o której mowa powyżej.</w:t>
      </w:r>
    </w:p>
    <w:p w:rsidR="00BF01EA" w:rsidRDefault="00EF4B63">
      <w:pPr>
        <w:pStyle w:val="Textbody"/>
        <w:numPr>
          <w:ilvl w:val="0"/>
          <w:numId w:val="1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Celem wprowadzenia standardów jest:</w:t>
      </w:r>
    </w:p>
    <w:p w:rsidR="00BF01EA" w:rsidRDefault="00EF4B63">
      <w:pPr>
        <w:pStyle w:val="Textbody"/>
        <w:numPr>
          <w:ilvl w:val="1"/>
          <w:numId w:val="1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lastRenderedPageBreak/>
        <w:t>zapewnienie wszystkim dzieciom ochron</w:t>
      </w:r>
      <w:r>
        <w:rPr>
          <w:rFonts w:ascii="Lato, sans-serif" w:hAnsi="Lato, sans-serif"/>
          <w:color w:val="000000"/>
          <w:sz w:val="27"/>
        </w:rPr>
        <w:t>y przed krzywdzeniem i ustalenie procedur udzielania im wsparcia;</w:t>
      </w:r>
    </w:p>
    <w:p w:rsidR="00BF01EA" w:rsidRDefault="00EF4B63">
      <w:pPr>
        <w:pStyle w:val="Textbody"/>
        <w:numPr>
          <w:ilvl w:val="1"/>
          <w:numId w:val="1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 xml:space="preserve">zapewnienie wszystkim osobom dopuszczonym do pracy z dziećmi niezbędnych informacji i kompetencji, aby umożliwić im wywiązanie się z obowiązków w zakresie dbałości o dobro dziecka i ochrony </w:t>
      </w:r>
      <w:r>
        <w:rPr>
          <w:rFonts w:ascii="Lato, sans-serif" w:hAnsi="Lato, sans-serif"/>
          <w:color w:val="000000"/>
          <w:sz w:val="27"/>
        </w:rPr>
        <w:t>dzieci przed przemocą;</w:t>
      </w:r>
    </w:p>
    <w:p w:rsidR="00BF01EA" w:rsidRDefault="00EF4B63">
      <w:pPr>
        <w:pStyle w:val="Textbody"/>
        <w:numPr>
          <w:ilvl w:val="1"/>
          <w:numId w:val="1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zapewnienie dzieciom oraz ich rodzicom lub opiekunom niezbędnych informacji na temat zasad obowiązujących w gabinecie stomatologicznym oraz możliwości uzyskania wsparcia w sytuacji podejrzenia, że dziecko doświadcza krzywdzenia.</w:t>
      </w:r>
    </w:p>
    <w:p w:rsidR="00BF01EA" w:rsidRDefault="00BF01EA">
      <w:pPr>
        <w:pStyle w:val="Textbody"/>
        <w:spacing w:after="0"/>
        <w:jc w:val="both"/>
        <w:rPr>
          <w:rFonts w:ascii="Lato, sans-serif" w:hAnsi="Lato, sans-serif" w:hint="eastAsia"/>
          <w:color w:val="000000"/>
          <w:sz w:val="27"/>
        </w:rPr>
      </w:pPr>
    </w:p>
    <w:p w:rsidR="00BF01EA" w:rsidRDefault="00EF4B63">
      <w:pPr>
        <w:pStyle w:val="Textbody"/>
        <w:numPr>
          <w:ilvl w:val="0"/>
          <w:numId w:val="1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Uży</w:t>
      </w:r>
      <w:r>
        <w:rPr>
          <w:rFonts w:ascii="Lato, sans-serif" w:hAnsi="Lato, sans-serif"/>
          <w:color w:val="000000"/>
          <w:sz w:val="27"/>
        </w:rPr>
        <w:t>te w Standardach pojęcia oznaczają:</w:t>
      </w:r>
    </w:p>
    <w:p w:rsidR="00BF01EA" w:rsidRDefault="00EF4B63">
      <w:pPr>
        <w:pStyle w:val="Textbody"/>
        <w:numPr>
          <w:ilvl w:val="1"/>
          <w:numId w:val="1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Standardy – niniejsze „Standardy Ochrony Małoletnich” (zamiennie „Standardy Ochrony Dzieci”);</w:t>
      </w:r>
    </w:p>
    <w:p w:rsidR="00BF01EA" w:rsidRDefault="00EF4B63">
      <w:pPr>
        <w:pStyle w:val="Textbody"/>
        <w:numPr>
          <w:ilvl w:val="1"/>
          <w:numId w:val="1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gabinet stomatologiczny Indywidualna Praktyka Lekarska lek.dent. Patrycja Ślusarczyk – placówkę w której funkcjonuje gabinet s</w:t>
      </w:r>
      <w:r>
        <w:rPr>
          <w:rFonts w:ascii="Lato, sans-serif" w:hAnsi="Lato, sans-serif"/>
          <w:color w:val="000000"/>
          <w:sz w:val="27"/>
        </w:rPr>
        <w:t>tomatologiczny prowadzony przez Patrycja Ślusarczyk działający pod  firma Indywidualna Praktyka Lekarska z siedzibą w Słopnicach 984 (kod 34-615), NIP 7372022390;</w:t>
      </w:r>
    </w:p>
    <w:p w:rsidR="00BF01EA" w:rsidRDefault="00EF4B63">
      <w:pPr>
        <w:pStyle w:val="Textbody"/>
        <w:numPr>
          <w:ilvl w:val="1"/>
          <w:numId w:val="1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 xml:space="preserve">personel – pracownicy, współpracownicy, niezależnie od podstawy zatrudnienia (w tym osoby </w:t>
      </w:r>
      <w:r>
        <w:rPr>
          <w:rFonts w:ascii="Lato, sans-serif" w:hAnsi="Lato, sans-serif"/>
          <w:color w:val="000000"/>
          <w:sz w:val="27"/>
        </w:rPr>
        <w:t>świadczące usługi w oparciu o umowy cywilnoprawne, wolontariusze, studenci, rezydenci, stażyści, praktykanci), miejsca zatrudnienia, pełnionych stanowisk, personel administracyjny, pomocniczy, w tym sprzątający i pilnujący porządku);</w:t>
      </w:r>
    </w:p>
    <w:p w:rsidR="00BF01EA" w:rsidRDefault="00EF4B63">
      <w:pPr>
        <w:pStyle w:val="Textbody"/>
        <w:numPr>
          <w:ilvl w:val="1"/>
          <w:numId w:val="1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prowadzący placówkę (g</w:t>
      </w:r>
      <w:r>
        <w:rPr>
          <w:rFonts w:ascii="Lato, sans-serif" w:hAnsi="Lato, sans-serif"/>
          <w:color w:val="000000"/>
          <w:sz w:val="27"/>
        </w:rPr>
        <w:t>abinet stomatologiczny) – Patrycja Ślusarczyk działający pod firmą  – Indywidualna Praktyka Lekarska lek. dent. Patrycja Ślusarczyk z siedzibą w Słopnicach 984 (kod 34-615), NIP 7372022390;</w:t>
      </w:r>
    </w:p>
    <w:p w:rsidR="00BF01EA" w:rsidRDefault="00EF4B63">
      <w:pPr>
        <w:pStyle w:val="Textbody"/>
        <w:numPr>
          <w:ilvl w:val="1"/>
          <w:numId w:val="1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podmioty współpracujące – podmioty zewnętrzne współpracujące prowa</w:t>
      </w:r>
      <w:r>
        <w:rPr>
          <w:rFonts w:ascii="Lato, sans-serif" w:hAnsi="Lato, sans-serif"/>
          <w:color w:val="000000"/>
          <w:sz w:val="27"/>
        </w:rPr>
        <w:t>dzącym gabinet stomatologiczny;</w:t>
      </w:r>
    </w:p>
    <w:p w:rsidR="00BF01EA" w:rsidRDefault="00EF4B63">
      <w:pPr>
        <w:pStyle w:val="Textbody"/>
        <w:numPr>
          <w:ilvl w:val="1"/>
          <w:numId w:val="1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małoletni (inaczej dziecko) – każda osoba, która nie ukończyła 18 roku życia;</w:t>
      </w:r>
    </w:p>
    <w:p w:rsidR="00BF01EA" w:rsidRDefault="00EF4B63">
      <w:pPr>
        <w:pStyle w:val="Textbody"/>
        <w:numPr>
          <w:ilvl w:val="1"/>
          <w:numId w:val="1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 xml:space="preserve">Niebieska Karta – procedura „Niebieskiej Karty”, o której mowa w ustawie z dnia 29 lipca 2005 r. o przeciwdziałaniu przemocy domowej (tekst jedn. </w:t>
      </w:r>
      <w:r>
        <w:rPr>
          <w:rFonts w:ascii="Lato, sans-serif" w:hAnsi="Lato, sans-serif"/>
          <w:color w:val="000000"/>
          <w:sz w:val="27"/>
        </w:rPr>
        <w:t>Dz. U. 2024, poz. 424);</w:t>
      </w:r>
    </w:p>
    <w:p w:rsidR="00BF01EA" w:rsidRDefault="00EF4B63">
      <w:pPr>
        <w:pStyle w:val="Textbody"/>
        <w:numPr>
          <w:ilvl w:val="1"/>
          <w:numId w:val="1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 xml:space="preserve">Rejestr – Rejestr Sprawców Przestępstw na Tle Seksualnym, o którym mowa w ustawie z dnia 13 maja 2016 r. o przeciwdziałaniu zagrożeniom przestępczością na tle seksualnym i ochronie małoletnich (tekst jedn. Dz. U. 2023, poz. 1304 ze </w:t>
      </w:r>
      <w:r>
        <w:rPr>
          <w:rFonts w:ascii="Lato, sans-serif" w:hAnsi="Lato, sans-serif"/>
          <w:color w:val="000000"/>
          <w:sz w:val="27"/>
        </w:rPr>
        <w:t>zm.);</w:t>
      </w:r>
    </w:p>
    <w:p w:rsidR="00BF01EA" w:rsidRDefault="00EF4B63">
      <w:pPr>
        <w:pStyle w:val="Textbody"/>
        <w:numPr>
          <w:ilvl w:val="1"/>
          <w:numId w:val="1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k. – ustawa z dnia 6 czerwca 1967 r. Kodeks karny (tekst jedn. Dz. U. 2024, poz. 17 ze zm.);</w:t>
      </w:r>
    </w:p>
    <w:p w:rsidR="00BF01EA" w:rsidRDefault="00EF4B63">
      <w:pPr>
        <w:pStyle w:val="Textbody"/>
        <w:numPr>
          <w:ilvl w:val="1"/>
          <w:numId w:val="1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r.i.o. – ustawa z dnia 25 lutego 1964 r. Kodeks rodzinny i opiekuńczy (tekst jedn. Dz. U. 2023, poz. 2809 ze zm.);</w:t>
      </w:r>
    </w:p>
    <w:p w:rsidR="00BF01EA" w:rsidRDefault="00EF4B63">
      <w:pPr>
        <w:pStyle w:val="Textbody"/>
        <w:numPr>
          <w:ilvl w:val="1"/>
          <w:numId w:val="1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opiekun prawny – osoba sprawująca opiekę n</w:t>
      </w:r>
      <w:r>
        <w:rPr>
          <w:rFonts w:ascii="Lato, sans-serif" w:hAnsi="Lato, sans-serif"/>
          <w:color w:val="000000"/>
          <w:sz w:val="27"/>
        </w:rPr>
        <w:t>ad małoletnim na podstawie obowiązku ustawowego, w tym rodzic lub inny przedstawiciel ustawowy;</w:t>
      </w:r>
    </w:p>
    <w:p w:rsidR="00BF01EA" w:rsidRDefault="00EF4B63">
      <w:pPr>
        <w:pStyle w:val="Textbody"/>
        <w:numPr>
          <w:ilvl w:val="1"/>
          <w:numId w:val="1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lastRenderedPageBreak/>
        <w:t>opiekun faktyczny – osoba sprawująca faktyczną opiekę nad małoletnim, pomimo braku obowiązku ustawowego; 11) U.p.n. – ustawa z dnia 29 lipca 2005 r. o przeciwdz</w:t>
      </w:r>
      <w:r>
        <w:rPr>
          <w:rFonts w:ascii="Lato, sans-serif" w:hAnsi="Lato, sans-serif"/>
          <w:color w:val="000000"/>
          <w:sz w:val="27"/>
        </w:rPr>
        <w:t>iałaniu narkomanii (Dz. U. z 2023 r. poz. 172 oraz z 2022 r. poz. 2600 ze zm.);</w:t>
      </w:r>
    </w:p>
    <w:p w:rsidR="00BF01EA" w:rsidRDefault="00EF4B63">
      <w:pPr>
        <w:pStyle w:val="Textbody"/>
        <w:numPr>
          <w:ilvl w:val="1"/>
          <w:numId w:val="1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p.n. – ustawa z dnia 29 lipca 2005 r. o przeciwdziałaniu narkomanii (Dz. U. z 2023 r. poz. 172 oraz z 2022 r. poz. 2600 ze zm.);</w:t>
      </w:r>
    </w:p>
    <w:p w:rsidR="00BF01EA" w:rsidRDefault="00EF4B63">
      <w:pPr>
        <w:pStyle w:val="Textbody"/>
        <w:numPr>
          <w:ilvl w:val="1"/>
          <w:numId w:val="1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zgoda opiekuna – zgoda rodziców albo zgoda opie</w:t>
      </w:r>
      <w:r>
        <w:rPr>
          <w:rFonts w:ascii="Lato, sans-serif" w:hAnsi="Lato, sans-serif"/>
          <w:color w:val="000000"/>
          <w:sz w:val="27"/>
        </w:rPr>
        <w:t>kuna, rodzica zastępczego lub opiekuna tymczasowego. Jednak w przypadku braku porozumienia między rodzicami dziecka należy poinformować rodziców o konieczności rozstrzygnięcia sprawy przez sąd rodzinny.</w:t>
      </w:r>
    </w:p>
    <w:p w:rsidR="00BF01EA" w:rsidRDefault="00EF4B63">
      <w:pPr>
        <w:pStyle w:val="Textbody"/>
        <w:numPr>
          <w:ilvl w:val="1"/>
          <w:numId w:val="1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Rejestr – Rejestr Sprawców Przestępstw na Tle Seksual</w:t>
      </w:r>
      <w:r>
        <w:rPr>
          <w:rFonts w:ascii="Lato, sans-serif" w:hAnsi="Lato, sans-serif"/>
          <w:color w:val="000000"/>
          <w:sz w:val="27"/>
        </w:rPr>
        <w:t>nym, o którym mowa w ustawie z dnia 13 maja 2016 r. o przeciwdziałaniu zagrożeniom przestępczością na tle seksualnym i ochronie małoletnich (tekst jedn. Dz. U. 2023, poz. 1304 ze zm.).</w:t>
      </w:r>
    </w:p>
    <w:p w:rsidR="00BF01EA" w:rsidRDefault="00EF4B63">
      <w:pPr>
        <w:pStyle w:val="Textbody"/>
        <w:numPr>
          <w:ilvl w:val="1"/>
          <w:numId w:val="1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 xml:space="preserve">Krajowy Rejestr Karny – Krajowy Rejestr Karny, o którym mowa w ustawie </w:t>
      </w:r>
      <w:r>
        <w:rPr>
          <w:rFonts w:ascii="Lato, sans-serif" w:hAnsi="Lato, sans-serif"/>
          <w:color w:val="000000"/>
          <w:sz w:val="27"/>
        </w:rPr>
        <w:t>z dnia 24 maja 2000 r. o Krajowym Rejestrze Karnym (Dz. U. 2023, poz. 1068 ze zm.).</w:t>
      </w:r>
    </w:p>
    <w:p w:rsidR="00BF01EA" w:rsidRDefault="00EF4B63">
      <w:pPr>
        <w:pStyle w:val="Textbody"/>
        <w:numPr>
          <w:ilvl w:val="1"/>
          <w:numId w:val="1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krzywdzenie dziecka – każde zachowanie względem dziecka, które stanowi wobec niego czyn zabroniony. Krzywdzeniem jest także zaniedbanie (zamierzone lub niezamierzone), dzia</w:t>
      </w:r>
      <w:r>
        <w:rPr>
          <w:rFonts w:ascii="Lato, sans-serif" w:hAnsi="Lato, sans-serif"/>
          <w:color w:val="000000"/>
          <w:sz w:val="27"/>
        </w:rPr>
        <w:t>łanie lub zaniechanie a także każdy jego rezultat, skutkujący naruszeniem praw, swobody, dóbr osobistych dziecka i zakłóceniem jego rozwoju.</w:t>
      </w:r>
    </w:p>
    <w:p w:rsidR="00BF01EA" w:rsidRDefault="00EF4B63">
      <w:pPr>
        <w:pStyle w:val="Textbody"/>
        <w:numPr>
          <w:ilvl w:val="1"/>
          <w:numId w:val="1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dane osobowe dziecka – wszelkie informacje umożliwiające identyfikację dziecka, w szczególności jego imię i nazwisk</w:t>
      </w:r>
      <w:r>
        <w:rPr>
          <w:rFonts w:ascii="Lato, sans-serif" w:hAnsi="Lato, sans-serif"/>
          <w:color w:val="000000"/>
          <w:sz w:val="27"/>
        </w:rPr>
        <w:t>o, wizerunek.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Nagwek3"/>
        <w:pBdr>
          <w:bottom w:val="single" w:sz="2" w:space="8" w:color="E5E5E5"/>
        </w:pBdr>
        <w:spacing w:before="240" w:after="240" w:line="264" w:lineRule="auto"/>
        <w:jc w:val="both"/>
        <w:rPr>
          <w:rFonts w:ascii="inherit" w:hAnsi="inherit" w:hint="eastAsia"/>
          <w:color w:val="000000"/>
          <w:sz w:val="30"/>
        </w:rPr>
      </w:pPr>
      <w:bookmarkStart w:id="2" w:name="_Toc174199204"/>
      <w:bookmarkEnd w:id="2"/>
      <w:r>
        <w:rPr>
          <w:rFonts w:ascii="inherit" w:hAnsi="inherit"/>
          <w:color w:val="000000"/>
          <w:sz w:val="30"/>
        </w:rPr>
        <w:t>Rozdział II. Rekrutacja personelu</w:t>
      </w:r>
    </w:p>
    <w:p w:rsidR="00BF01EA" w:rsidRDefault="00EF4B63">
      <w:pPr>
        <w:pStyle w:val="Textbody"/>
        <w:numPr>
          <w:ilvl w:val="0"/>
          <w:numId w:val="2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 xml:space="preserve">Do wykonywania obowiązków zawodowych w gabinecie stomatologicznym Indywidualna Praktyka Lekarska lek.dent. Patrycja Ślusarczyk, w tym w szczególności do pracy z dzieckiem dopuszczone są wyłącznie osoby, </w:t>
      </w:r>
      <w:r>
        <w:rPr>
          <w:rFonts w:ascii="Lato, sans-serif" w:hAnsi="Lato, sans-serif"/>
          <w:color w:val="000000"/>
          <w:sz w:val="27"/>
        </w:rPr>
        <w:t>których dane nie zostały ujawnione w Rejestrze oraz niekarane za przestępstwa określone w rozdziałach XIX, XXV oraz art. 189a i art. 207 K.k. oraz przepisach u.p.n. lub za odpowiadające im przestępstwa przewidziane w przepisach prawa obcego.</w:t>
      </w:r>
    </w:p>
    <w:p w:rsidR="00BF01EA" w:rsidRDefault="00EF4B63">
      <w:pPr>
        <w:pStyle w:val="Textbody"/>
        <w:numPr>
          <w:ilvl w:val="0"/>
          <w:numId w:val="2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Przed dopuszcz</w:t>
      </w:r>
      <w:r>
        <w:rPr>
          <w:rFonts w:ascii="Lato, sans-serif" w:hAnsi="Lato, sans-serif"/>
          <w:color w:val="000000"/>
          <w:sz w:val="27"/>
        </w:rPr>
        <w:t>eniem pracownika do wykonywania obowiązków zawodowych, a w przypadku zatrudnienia w ramach stosunku pracy, przed jego nawiązaniem, prowadzący placówkę:</w:t>
      </w:r>
    </w:p>
    <w:p w:rsidR="00BF01EA" w:rsidRDefault="00EF4B63">
      <w:pPr>
        <w:pStyle w:val="Textbody"/>
        <w:numPr>
          <w:ilvl w:val="1"/>
          <w:numId w:val="2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uzyskuje informację, czy dane tej osoby zamieszczone są w Rejestrze;</w:t>
      </w:r>
    </w:p>
    <w:p w:rsidR="00BF01EA" w:rsidRDefault="00EF4B63">
      <w:pPr>
        <w:pStyle w:val="Textbody"/>
        <w:numPr>
          <w:ilvl w:val="1"/>
          <w:numId w:val="2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żąda od tej osoby przedłożenia info</w:t>
      </w:r>
      <w:r>
        <w:rPr>
          <w:rFonts w:ascii="Lato, sans-serif" w:hAnsi="Lato, sans-serif"/>
          <w:color w:val="000000"/>
          <w:sz w:val="27"/>
        </w:rPr>
        <w:t>rmacji z Krajowego Rejestru Karnego, a w przypadku Pracowników będących obywatelami innego państwa – informacji z rejestru karnego państwa obywatelstwa uzyskiwaną do celów działalności zawodowej lub wolontariackiej związanej z kontaktami z dziećmi.</w:t>
      </w:r>
    </w:p>
    <w:p w:rsidR="00BF01EA" w:rsidRDefault="00EF4B63">
      <w:pPr>
        <w:pStyle w:val="Textbody"/>
        <w:numPr>
          <w:ilvl w:val="0"/>
          <w:numId w:val="2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lastRenderedPageBreak/>
        <w:t>Przed n</w:t>
      </w:r>
      <w:r>
        <w:rPr>
          <w:rFonts w:ascii="Lato, sans-serif" w:hAnsi="Lato, sans-serif"/>
          <w:color w:val="000000"/>
          <w:sz w:val="27"/>
        </w:rPr>
        <w:t xml:space="preserve">awiązaniem stosunku pracy lub rozpoczęciem wykonywania czynności zawodowych w przypadku stosunku cywilnoprawnego osoba dopuszczona do wykonywania tych czynności zobowiązana jest złożyć oświadczenie o państwie lub państwach, w których zamieszkiwała w ciągu </w:t>
      </w:r>
      <w:r>
        <w:rPr>
          <w:rFonts w:ascii="Lato, sans-serif" w:hAnsi="Lato, sans-serif"/>
          <w:color w:val="000000"/>
          <w:sz w:val="27"/>
        </w:rPr>
        <w:t>ostatnich 20 lat, innych niż Rzeczpospolita Polska i państwo obywatelstwa, oraz jednocześnie przedłożyć informację z rejestrów karnych tych państw uzyskiwaną do celów działalności zawodowej lub wolontariackiej związanej z kontaktami z dziećmi. W przypadku,</w:t>
      </w:r>
      <w:r>
        <w:rPr>
          <w:rFonts w:ascii="Lato, sans-serif" w:hAnsi="Lato, sans-serif"/>
          <w:color w:val="000000"/>
          <w:sz w:val="27"/>
        </w:rPr>
        <w:t xml:space="preserve"> gdy prawo państwa obcego nie przewiduje wydawania informacji do celów działalności zawodowej lub wolontariackiej związanej z kontaktami z dziećmi, przedkłada się informację z rejestru karnego tego państwa, a w przypadku braku takiego rejestru – oświadczen</w:t>
      </w:r>
      <w:r>
        <w:rPr>
          <w:rFonts w:ascii="Lato, sans-serif" w:hAnsi="Lato, sans-serif"/>
          <w:color w:val="000000"/>
          <w:sz w:val="27"/>
        </w:rPr>
        <w:t>ie.</w:t>
      </w:r>
    </w:p>
    <w:p w:rsidR="00BF01EA" w:rsidRDefault="00EF4B63">
      <w:pPr>
        <w:pStyle w:val="Textbody"/>
        <w:numPr>
          <w:ilvl w:val="0"/>
          <w:numId w:val="2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Ponadto osoba przyjęta na stanowisko związane z pracą z dziećmi musi podpisać oświadczenie o zapoznaniu się ze standardami ochrony dzieci i zobowiązaniu do jej przestrzegania – Załącznik nr 1;</w:t>
      </w:r>
    </w:p>
    <w:p w:rsidR="00BF01EA" w:rsidRDefault="00EF4B63">
      <w:pPr>
        <w:pStyle w:val="Textbody"/>
        <w:numPr>
          <w:ilvl w:val="0"/>
          <w:numId w:val="2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Wszystkie oświadczenia, o których mowa powyżej zostają włąc</w:t>
      </w:r>
      <w:r>
        <w:rPr>
          <w:rFonts w:ascii="Lato, sans-serif" w:hAnsi="Lato, sans-serif"/>
          <w:color w:val="000000"/>
          <w:sz w:val="27"/>
        </w:rPr>
        <w:t>zone do akt osobowych pracownika, a w przypadku ich braku dołączone do umowy cywilnoprawnej.</w:t>
      </w:r>
    </w:p>
    <w:p w:rsidR="00BF01EA" w:rsidRDefault="00EF4B63">
      <w:pPr>
        <w:pStyle w:val="Textbody"/>
        <w:numPr>
          <w:ilvl w:val="0"/>
          <w:numId w:val="2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Brak zgody na podpisanie któregokolwiek dokumentu wymienionego w niniejszym paragrafie uniemożliwia nawiązanie z tą osobą jakiegokolwiek stosunku prawnego (zawarci</w:t>
      </w:r>
      <w:r>
        <w:rPr>
          <w:rFonts w:ascii="Lato, sans-serif" w:hAnsi="Lato, sans-serif"/>
          <w:color w:val="000000"/>
          <w:sz w:val="27"/>
        </w:rPr>
        <w:t>e umowy o pracę/współpracy).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Nagwek3"/>
        <w:pBdr>
          <w:bottom w:val="single" w:sz="2" w:space="8" w:color="E5E5E5"/>
        </w:pBdr>
        <w:spacing w:before="240" w:after="240" w:line="264" w:lineRule="auto"/>
        <w:jc w:val="both"/>
        <w:rPr>
          <w:rFonts w:ascii="inherit" w:hAnsi="inherit" w:hint="eastAsia"/>
          <w:color w:val="000000"/>
          <w:sz w:val="30"/>
        </w:rPr>
      </w:pPr>
      <w:bookmarkStart w:id="3" w:name="_Toc174199205"/>
      <w:bookmarkEnd w:id="3"/>
      <w:r>
        <w:rPr>
          <w:rFonts w:ascii="inherit" w:hAnsi="inherit"/>
          <w:color w:val="000000"/>
          <w:sz w:val="30"/>
        </w:rPr>
        <w:t>Rozdział III. Relacje pomiędzy personelem a małoletnimi</w:t>
      </w:r>
    </w:p>
    <w:p w:rsidR="00BF01EA" w:rsidRDefault="00EF4B63">
      <w:pPr>
        <w:pStyle w:val="Textbody"/>
        <w:numPr>
          <w:ilvl w:val="0"/>
          <w:numId w:val="3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Personel gabinetu stomatologicznego zna i stosuje zasady bezpiecznych relacji personel–dziecko.</w:t>
      </w:r>
    </w:p>
    <w:p w:rsidR="00BF01EA" w:rsidRDefault="00EF4B63">
      <w:pPr>
        <w:pStyle w:val="Textbody"/>
        <w:numPr>
          <w:ilvl w:val="0"/>
          <w:numId w:val="3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Personel gabinetu stomatologicznego buduje relacje z małoletnimi z poszan</w:t>
      </w:r>
      <w:r>
        <w:rPr>
          <w:rFonts w:ascii="Lato, sans-serif" w:hAnsi="Lato, sans-serif"/>
          <w:color w:val="000000"/>
          <w:sz w:val="27"/>
        </w:rPr>
        <w:t>owaniem ich praw i dóbr osobistych, w tym prawa pacjenta oraz prawa do intymności i prywatności.</w:t>
      </w:r>
    </w:p>
    <w:p w:rsidR="00BF01EA" w:rsidRDefault="00EF4B63">
      <w:pPr>
        <w:pStyle w:val="Textbody"/>
        <w:numPr>
          <w:ilvl w:val="0"/>
          <w:numId w:val="3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Przed udzieleniem świadczenia zdrowotnego małoletniemu oraz w trakcie jego udzielania personel zobowiązany jest:</w:t>
      </w:r>
    </w:p>
    <w:p w:rsidR="00BF01EA" w:rsidRDefault="00EF4B63">
      <w:pPr>
        <w:pStyle w:val="Textbody"/>
        <w:numPr>
          <w:ilvl w:val="1"/>
          <w:numId w:val="3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udzielać małoletniemu w sposób przystępny i zr</w:t>
      </w:r>
      <w:r>
        <w:rPr>
          <w:rFonts w:ascii="Lato, sans-serif" w:hAnsi="Lato, sans-serif"/>
          <w:color w:val="000000"/>
          <w:sz w:val="27"/>
        </w:rPr>
        <w:t>ozumiały niezbędnych informacji o celu, przebiegu oraz możliwych następstwach świadczenia zdrowotnego;</w:t>
      </w:r>
    </w:p>
    <w:p w:rsidR="00BF01EA" w:rsidRDefault="00EF4B63">
      <w:pPr>
        <w:pStyle w:val="Textbody"/>
        <w:numPr>
          <w:ilvl w:val="1"/>
          <w:numId w:val="3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zapewnić udzielanie świadczenia zdrowotnego w warunkach zapewniających poszanowanie intymności małoletniego;</w:t>
      </w:r>
    </w:p>
    <w:p w:rsidR="00BF01EA" w:rsidRDefault="00EF4B63">
      <w:pPr>
        <w:pStyle w:val="Textbody"/>
        <w:numPr>
          <w:ilvl w:val="1"/>
          <w:numId w:val="3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zapewnić obecność rodzica, opiekuna prawnego</w:t>
      </w:r>
      <w:r>
        <w:rPr>
          <w:rFonts w:ascii="Lato, sans-serif" w:hAnsi="Lato, sans-serif"/>
          <w:color w:val="000000"/>
          <w:sz w:val="27"/>
        </w:rPr>
        <w:t xml:space="preserve"> lub opiekuna faktycznego oraz udzielić im niezbędnych informacji dotyczących stanu zdrowia;</w:t>
      </w:r>
    </w:p>
    <w:p w:rsidR="00BF01EA" w:rsidRDefault="00EF4B63">
      <w:pPr>
        <w:pStyle w:val="Textbody"/>
        <w:numPr>
          <w:ilvl w:val="1"/>
          <w:numId w:val="3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do zadbania, by rodzic, opiekun prawny lub opiekun faktyczny nie utrudniał procesu udzielania świadczeń zdrowotnych (np. poprzez straszenie dziecka);</w:t>
      </w:r>
    </w:p>
    <w:p w:rsidR="00BF01EA" w:rsidRDefault="00EF4B63">
      <w:pPr>
        <w:pStyle w:val="Textbody"/>
        <w:numPr>
          <w:ilvl w:val="1"/>
          <w:numId w:val="3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lastRenderedPageBreak/>
        <w:t xml:space="preserve">reagować na </w:t>
      </w:r>
      <w:r>
        <w:rPr>
          <w:rFonts w:ascii="Lato, sans-serif" w:hAnsi="Lato, sans-serif"/>
          <w:color w:val="000000"/>
          <w:sz w:val="27"/>
        </w:rPr>
        <w:t>wszelkie przejawy agresji fizycznej lub werbalnej wobec małoletniego, w tym również ze strony rodziców, opiekunów prawnych lub opiekunów faktycznych;</w:t>
      </w:r>
    </w:p>
    <w:p w:rsidR="00BF01EA" w:rsidRDefault="00EF4B63">
      <w:pPr>
        <w:pStyle w:val="Textbody"/>
        <w:numPr>
          <w:ilvl w:val="1"/>
          <w:numId w:val="3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 xml:space="preserve">odmówić lub zaprzestać udzielania świadczeń zdrowotnych w przypadku, gdy z okoliczności, w tym zachowania </w:t>
      </w:r>
      <w:r>
        <w:rPr>
          <w:rFonts w:ascii="Lato, sans-serif" w:hAnsi="Lato, sans-serif"/>
          <w:color w:val="000000"/>
          <w:sz w:val="27"/>
        </w:rPr>
        <w:t>małoletniego lub osób mu towarzyszących, wynika, że udzielenie świadczenia może wywołać lub zwiększyć krzywdę małoletniego, a względy zdrowotne się temu nie sprzeciwiają.</w:t>
      </w:r>
    </w:p>
    <w:p w:rsidR="00BF01EA" w:rsidRDefault="00EF4B63">
      <w:pPr>
        <w:pStyle w:val="Textbody"/>
        <w:numPr>
          <w:ilvl w:val="0"/>
          <w:numId w:val="3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Zabronione jest:</w:t>
      </w:r>
    </w:p>
    <w:p w:rsidR="00BF01EA" w:rsidRDefault="00EF4B63">
      <w:pPr>
        <w:pStyle w:val="Textbody"/>
        <w:numPr>
          <w:ilvl w:val="1"/>
          <w:numId w:val="3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naruszanie integralności cielesnej Małoletniego w sposób i w zakresi</w:t>
      </w:r>
      <w:r>
        <w:rPr>
          <w:rFonts w:ascii="Lato, sans-serif" w:hAnsi="Lato, sans-serif"/>
          <w:color w:val="000000"/>
          <w:sz w:val="27"/>
        </w:rPr>
        <w:t>e nieuzasadnionym celem świadczenia zdrowotnego;</w:t>
      </w:r>
    </w:p>
    <w:p w:rsidR="00BF01EA" w:rsidRDefault="00EF4B63">
      <w:pPr>
        <w:pStyle w:val="Textbody"/>
        <w:numPr>
          <w:ilvl w:val="1"/>
          <w:numId w:val="3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wszelkie zachowania mogące budzić lęk, upokorzenie lub poczucie wstydu małoletniego;</w:t>
      </w:r>
    </w:p>
    <w:p w:rsidR="00BF01EA" w:rsidRDefault="00EF4B63">
      <w:pPr>
        <w:pStyle w:val="Textbody"/>
        <w:numPr>
          <w:ilvl w:val="1"/>
          <w:numId w:val="3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wprowadzanie małoletniego w błąd co do zakresu, celu i następstw udzielanych świadczeń zdrowotnych;</w:t>
      </w:r>
    </w:p>
    <w:p w:rsidR="00BF01EA" w:rsidRDefault="00EF4B63">
      <w:pPr>
        <w:pStyle w:val="Textbody"/>
        <w:numPr>
          <w:ilvl w:val="1"/>
          <w:numId w:val="3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dyskryminowanie małole</w:t>
      </w:r>
      <w:r>
        <w:rPr>
          <w:rFonts w:ascii="Lato, sans-serif" w:hAnsi="Lato, sans-serif"/>
          <w:color w:val="000000"/>
          <w:sz w:val="27"/>
        </w:rPr>
        <w:t>tniego z jakichkolwiek przyczyn, w tym ze względu na wiek lub stopień rozwoju;</w:t>
      </w:r>
    </w:p>
    <w:p w:rsidR="00BF01EA" w:rsidRDefault="00EF4B63">
      <w:pPr>
        <w:pStyle w:val="Textbody"/>
        <w:numPr>
          <w:ilvl w:val="1"/>
          <w:numId w:val="3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bagatelizowanie zgłaszanych przez małoletniego potrzeb lub symptomów (np. bólu, lęku);</w:t>
      </w:r>
    </w:p>
    <w:p w:rsidR="00BF01EA" w:rsidRDefault="00EF4B63">
      <w:pPr>
        <w:pStyle w:val="Textbody"/>
        <w:numPr>
          <w:ilvl w:val="1"/>
          <w:numId w:val="3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utrwalanie, rozpowszechnianie i jakiekolwiek wykorzystywanie wizerunku małoletniego bez up</w:t>
      </w:r>
      <w:r>
        <w:rPr>
          <w:rFonts w:ascii="Lato, sans-serif" w:hAnsi="Lato, sans-serif"/>
          <w:color w:val="000000"/>
          <w:sz w:val="27"/>
        </w:rPr>
        <w:t>rzedniej pisemnej zgody jego przedstawiciela ustawowego;</w:t>
      </w:r>
    </w:p>
    <w:p w:rsidR="00BF01EA" w:rsidRDefault="00EF4B63">
      <w:pPr>
        <w:pStyle w:val="Textbody"/>
        <w:numPr>
          <w:ilvl w:val="0"/>
          <w:numId w:val="3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Członek personelu w kontakcie z dzieckiem:</w:t>
      </w:r>
    </w:p>
    <w:p w:rsidR="00BF01EA" w:rsidRDefault="00EF4B63">
      <w:pPr>
        <w:pStyle w:val="Textbody"/>
        <w:numPr>
          <w:ilvl w:val="0"/>
          <w:numId w:val="4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przedstawia się i mówi, kim jest, jaka jest jego rola w udzielaniu świadczenia dziecku;</w:t>
      </w:r>
    </w:p>
    <w:p w:rsidR="00BF01EA" w:rsidRDefault="00EF4B63">
      <w:pPr>
        <w:pStyle w:val="Textbody"/>
        <w:numPr>
          <w:ilvl w:val="0"/>
          <w:numId w:val="4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komunikuje się z dziećmi w sposób życzliwy i cierpliwy, okazuje empa</w:t>
      </w:r>
      <w:r>
        <w:rPr>
          <w:rFonts w:ascii="Lato, sans-serif" w:hAnsi="Lato, sans-serif"/>
          <w:color w:val="000000"/>
          <w:sz w:val="27"/>
        </w:rPr>
        <w:t>tię i dobrą wolę w rozmowie;</w:t>
      </w:r>
    </w:p>
    <w:p w:rsidR="00BF01EA" w:rsidRDefault="00EF4B63">
      <w:pPr>
        <w:pStyle w:val="Textbody"/>
        <w:numPr>
          <w:ilvl w:val="0"/>
          <w:numId w:val="4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zachowuje uczciwość i dobre intencje;</w:t>
      </w:r>
    </w:p>
    <w:p w:rsidR="00BF01EA" w:rsidRDefault="00EF4B63">
      <w:pPr>
        <w:pStyle w:val="Textbody"/>
        <w:numPr>
          <w:ilvl w:val="0"/>
          <w:numId w:val="4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przekazuje dziecku informacje w sposób dostosowany do jego wieku, przy użyciu prostego języka; informuje o tym, co robi i co się z nim dzieje/będzie dziać; sprawdza, czy dziecko rozumie, co</w:t>
      </w:r>
      <w:r>
        <w:rPr>
          <w:rFonts w:ascii="Lato, sans-serif" w:hAnsi="Lato, sans-serif"/>
          <w:color w:val="000000"/>
          <w:sz w:val="27"/>
        </w:rPr>
        <w:t xml:space="preserve"> się będzie działo i jakie będą skutki działań medycznych lub terapeutycznych lub innych;</w:t>
      </w:r>
    </w:p>
    <w:p w:rsidR="00BF01EA" w:rsidRDefault="00EF4B63">
      <w:pPr>
        <w:pStyle w:val="Textbody"/>
        <w:numPr>
          <w:ilvl w:val="0"/>
          <w:numId w:val="4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upewnia się, czy dziecko wie, że może zawsze zadawać pytania członkom personelu;</w:t>
      </w:r>
    </w:p>
    <w:p w:rsidR="00BF01EA" w:rsidRDefault="00EF4B63">
      <w:pPr>
        <w:pStyle w:val="Textbody"/>
        <w:numPr>
          <w:ilvl w:val="0"/>
          <w:numId w:val="4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zwraca się do dziecka po imieniu w formie preferowanej przez dziecko, respektuje jego</w:t>
      </w:r>
      <w:r>
        <w:rPr>
          <w:rFonts w:ascii="Lato, sans-serif" w:hAnsi="Lato, sans-serif"/>
          <w:color w:val="000000"/>
          <w:sz w:val="27"/>
        </w:rPr>
        <w:t xml:space="preserve"> tożsamość i ekspresję.</w:t>
      </w:r>
    </w:p>
    <w:p w:rsidR="00BF01EA" w:rsidRDefault="00EF4B63">
      <w:pPr>
        <w:pStyle w:val="Textbody"/>
        <w:numPr>
          <w:ilvl w:val="0"/>
          <w:numId w:val="4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korzysta z alternatywnych form komunikacji z dzieckiem, które tego potrzebuje;</w:t>
      </w:r>
    </w:p>
    <w:p w:rsidR="00BF01EA" w:rsidRDefault="00EF4B63">
      <w:pPr>
        <w:pStyle w:val="Textbody"/>
        <w:numPr>
          <w:ilvl w:val="0"/>
          <w:numId w:val="4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lastRenderedPageBreak/>
        <w:t>zachowuje wrażliwość kulturową, szanuje i równo traktuje każde dziecko bez względu ze względu na jakiekolwiek cechy, w tym specjalne potrzeby, niepełnosp</w:t>
      </w:r>
      <w:r>
        <w:rPr>
          <w:rFonts w:ascii="Lato, sans-serif" w:hAnsi="Lato, sans-serif"/>
          <w:color w:val="000000"/>
          <w:sz w:val="27"/>
        </w:rPr>
        <w:t>rawność, rasę, płeć, religię, kolor skóry, pochodzenie narodowe lub etniczne, język, stan cywilny, orientację seksualną, stan zdrowia, wiek, zdolności, przekonania polityczne lub status społeczny.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Nagwek3"/>
        <w:pBdr>
          <w:bottom w:val="single" w:sz="2" w:space="8" w:color="E5E5E5"/>
        </w:pBdr>
        <w:spacing w:before="240" w:after="240" w:line="264" w:lineRule="auto"/>
        <w:jc w:val="both"/>
        <w:rPr>
          <w:rFonts w:ascii="inherit" w:hAnsi="inherit" w:hint="eastAsia"/>
          <w:color w:val="000000"/>
          <w:sz w:val="30"/>
        </w:rPr>
      </w:pPr>
      <w:bookmarkStart w:id="4" w:name="_Toc174199206"/>
      <w:bookmarkEnd w:id="4"/>
      <w:r>
        <w:rPr>
          <w:rFonts w:ascii="inherit" w:hAnsi="inherit"/>
          <w:color w:val="000000"/>
          <w:sz w:val="30"/>
        </w:rPr>
        <w:t>Rozdział IV. Zasady korzystania z urządzeń elektronicznyc</w:t>
      </w:r>
      <w:r>
        <w:rPr>
          <w:rFonts w:ascii="inherit" w:hAnsi="inherit"/>
          <w:color w:val="000000"/>
          <w:sz w:val="30"/>
        </w:rPr>
        <w:t>h z dostępem do sieci Internet</w:t>
      </w:r>
    </w:p>
    <w:p w:rsidR="00BF01EA" w:rsidRDefault="00EF4B63">
      <w:pPr>
        <w:pStyle w:val="Textbody"/>
        <w:numPr>
          <w:ilvl w:val="0"/>
          <w:numId w:val="5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Gabinet stomatologiczny Indywidualna Praktyka Lekarska lek.dent. Patrycja Ślusarczyk</w:t>
      </w:r>
      <w:r>
        <w:rPr>
          <w:rFonts w:ascii="Lato, sans-serif" w:hAnsi="Lato, sans-serif"/>
          <w:color w:val="000000"/>
          <w:sz w:val="27"/>
        </w:rPr>
        <w:t xml:space="preserve"> nie udostępnia małoletnim możliwości korzystania z urządzeń elektronicznych z dostępem do sieci Internet.</w:t>
      </w:r>
    </w:p>
    <w:p w:rsidR="00BF01EA" w:rsidRDefault="00EF4B63">
      <w:pPr>
        <w:pStyle w:val="Textbody"/>
        <w:numPr>
          <w:ilvl w:val="0"/>
          <w:numId w:val="5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Wszelkie przypadki niedozwolonego korzystania przez małoletniego z sieci Internet przy wykorzystaniu sieci teleinformatycznej personel obowiązany jes</w:t>
      </w:r>
      <w:r>
        <w:rPr>
          <w:rFonts w:ascii="Lato, sans-serif" w:hAnsi="Lato, sans-serif"/>
          <w:color w:val="000000"/>
          <w:sz w:val="27"/>
        </w:rPr>
        <w:t>t zgłaszać prowadzącemu placówkę.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Nagwek3"/>
        <w:pBdr>
          <w:bottom w:val="single" w:sz="2" w:space="8" w:color="E5E5E5"/>
        </w:pBdr>
        <w:spacing w:before="240" w:after="240" w:line="264" w:lineRule="auto"/>
        <w:jc w:val="both"/>
        <w:rPr>
          <w:rFonts w:ascii="inherit" w:hAnsi="inherit" w:hint="eastAsia"/>
          <w:color w:val="000000"/>
          <w:sz w:val="30"/>
        </w:rPr>
      </w:pPr>
      <w:bookmarkStart w:id="5" w:name="_Toc174199207"/>
      <w:bookmarkEnd w:id="5"/>
      <w:r>
        <w:rPr>
          <w:rFonts w:ascii="inherit" w:hAnsi="inherit"/>
          <w:color w:val="000000"/>
          <w:sz w:val="30"/>
        </w:rPr>
        <w:t>Rozdział V. Zasady podejmowania interwencji w sytuacji podejrzenia krzywdzenia lub posiadania informacji o krzywdzeniu małoletniego.</w:t>
      </w:r>
    </w:p>
    <w:p w:rsidR="00BF01EA" w:rsidRDefault="00EF4B63">
      <w:pPr>
        <w:pStyle w:val="Textbody"/>
        <w:numPr>
          <w:ilvl w:val="0"/>
          <w:numId w:val="6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Krzywdzeniem małoletniego są wszelkie przejawy przemocy fizycznej, psychicznej, ekonomi</w:t>
      </w:r>
      <w:r>
        <w:rPr>
          <w:rFonts w:ascii="Lato, sans-serif" w:hAnsi="Lato, sans-serif"/>
          <w:color w:val="000000"/>
          <w:sz w:val="27"/>
        </w:rPr>
        <w:t>cznej, seksualnej wobec małoletniego, niezależnie od miejsca popełnienia, czasu trwania, intencji sprawcy, a także skutków i rozmiarów krzywdy wyrządzonej małoletniemu. W szczególności za przejawy krzywdzenia małoletniego uznaje się:</w:t>
      </w:r>
    </w:p>
    <w:p w:rsidR="00BF01EA" w:rsidRDefault="00EF4B63">
      <w:pPr>
        <w:pStyle w:val="Textbody"/>
        <w:numPr>
          <w:ilvl w:val="1"/>
          <w:numId w:val="6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naruszenie integralnoś</w:t>
      </w:r>
      <w:r>
        <w:rPr>
          <w:rFonts w:ascii="Lato, sans-serif" w:hAnsi="Lato, sans-serif"/>
          <w:color w:val="000000"/>
          <w:sz w:val="27"/>
        </w:rPr>
        <w:t>ci cielesnej małoletniego, w tym uszkodzenie ciała, naruszenie czynności narządu ciała lub wywołanie rozstroju zdrowia;</w:t>
      </w:r>
    </w:p>
    <w:p w:rsidR="00BF01EA" w:rsidRDefault="00EF4B63">
      <w:pPr>
        <w:pStyle w:val="Textbody"/>
        <w:numPr>
          <w:ilvl w:val="1"/>
          <w:numId w:val="6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poniżanie, upokarzanie lub ośmieszanie małoletniego;</w:t>
      </w:r>
    </w:p>
    <w:p w:rsidR="00BF01EA" w:rsidRDefault="00EF4B63">
      <w:pPr>
        <w:pStyle w:val="Textbody"/>
        <w:numPr>
          <w:ilvl w:val="1"/>
          <w:numId w:val="6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groźby kierowane wobec małoletniego;</w:t>
      </w:r>
    </w:p>
    <w:p w:rsidR="00BF01EA" w:rsidRDefault="00EF4B63">
      <w:pPr>
        <w:pStyle w:val="Textbody"/>
        <w:numPr>
          <w:ilvl w:val="1"/>
          <w:numId w:val="6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praktyki manipulacyjne wobec małoletniego;</w:t>
      </w:r>
    </w:p>
    <w:p w:rsidR="00BF01EA" w:rsidRDefault="00EF4B63">
      <w:pPr>
        <w:pStyle w:val="Textbody"/>
        <w:numPr>
          <w:ilvl w:val="1"/>
          <w:numId w:val="6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uni</w:t>
      </w:r>
      <w:r>
        <w:rPr>
          <w:rFonts w:ascii="Lato, sans-serif" w:hAnsi="Lato, sans-serif"/>
          <w:color w:val="000000"/>
          <w:sz w:val="27"/>
        </w:rPr>
        <w:t>emożliwianie lub utrudnianie zaspokajania przez małoletniego podstawowych potrzeb życiowych (np. wyżywienie, ubranie, schronienie, edukacja);</w:t>
      </w:r>
    </w:p>
    <w:p w:rsidR="00BF01EA" w:rsidRDefault="00EF4B63">
      <w:pPr>
        <w:pStyle w:val="Textbody"/>
        <w:numPr>
          <w:ilvl w:val="1"/>
          <w:numId w:val="6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dyskryminowanie małoletniego z jakichkolwiek przyczyn.</w:t>
      </w:r>
    </w:p>
    <w:p w:rsidR="00BF01EA" w:rsidRDefault="00EF4B63">
      <w:pPr>
        <w:pStyle w:val="Textbody"/>
        <w:numPr>
          <w:ilvl w:val="0"/>
          <w:numId w:val="6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 xml:space="preserve">W przypadku podejrzenia krzywdzenia małoletniego lub </w:t>
      </w:r>
      <w:r>
        <w:rPr>
          <w:rFonts w:ascii="Lato, sans-serif" w:hAnsi="Lato, sans-serif"/>
          <w:color w:val="000000"/>
          <w:sz w:val="27"/>
        </w:rPr>
        <w:t>uzyskania informacji o krzywdzeniu małoletniego, personel zobowiązany jest niezwłocznie powiadomić o tych okolicznościach prowadzącego placówkę lub osobę go zastępującą, chyba że takie podejrzenie lub informację uzyskała osoba prowadząca placówkę. Informac</w:t>
      </w:r>
      <w:r>
        <w:rPr>
          <w:rFonts w:ascii="Lato, sans-serif" w:hAnsi="Lato, sans-serif"/>
          <w:color w:val="000000"/>
          <w:sz w:val="27"/>
        </w:rPr>
        <w:t xml:space="preserve">ję należy </w:t>
      </w:r>
      <w:r>
        <w:rPr>
          <w:rFonts w:ascii="Lato, sans-serif" w:hAnsi="Lato, sans-serif"/>
          <w:color w:val="000000"/>
          <w:sz w:val="27"/>
        </w:rPr>
        <w:lastRenderedPageBreak/>
        <w:t>przekazać w sposób zapewniający bezpieczeństwo i poufność danych oraz zabezpieczyć je przed dostępem osób nieuprawnionych.</w:t>
      </w:r>
    </w:p>
    <w:p w:rsidR="00BF01EA" w:rsidRDefault="00EF4B63">
      <w:pPr>
        <w:pStyle w:val="Textbody"/>
        <w:numPr>
          <w:ilvl w:val="0"/>
          <w:numId w:val="6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 xml:space="preserve">W przypadku, o którym mowa w ust. 2 osoba, która powzięła podejrzenie o krzywdzeniu małoletniego lub uzyskała informację o </w:t>
      </w:r>
      <w:r>
        <w:rPr>
          <w:rFonts w:ascii="Lato, sans-serif" w:hAnsi="Lato, sans-serif"/>
          <w:color w:val="000000"/>
          <w:sz w:val="27"/>
        </w:rPr>
        <w:t>krzywdzeniu, zobowiązana jest sporządzić pisemną informację zawierającą w szczególności:</w:t>
      </w:r>
    </w:p>
    <w:p w:rsidR="00BF01EA" w:rsidRDefault="00EF4B63">
      <w:pPr>
        <w:pStyle w:val="Textbody"/>
        <w:numPr>
          <w:ilvl w:val="1"/>
          <w:numId w:val="6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imię i nazwisko osoby, która taką informację powzięła,</w:t>
      </w:r>
    </w:p>
    <w:p w:rsidR="00BF01EA" w:rsidRDefault="00EF4B63">
      <w:pPr>
        <w:pStyle w:val="Textbody"/>
        <w:numPr>
          <w:ilvl w:val="1"/>
          <w:numId w:val="6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imię i nazwisko małoletniego;</w:t>
      </w:r>
    </w:p>
    <w:p w:rsidR="00BF01EA" w:rsidRDefault="00EF4B63">
      <w:pPr>
        <w:pStyle w:val="Textbody"/>
        <w:numPr>
          <w:ilvl w:val="1"/>
          <w:numId w:val="6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imię i nazwisko oraz dane kontaktowe opiekunów prawnych albo opiekunów faktycznych</w:t>
      </w:r>
      <w:r>
        <w:rPr>
          <w:rFonts w:ascii="Lato, sans-serif" w:hAnsi="Lato, sans-serif"/>
          <w:color w:val="000000"/>
          <w:sz w:val="27"/>
        </w:rPr>
        <w:t xml:space="preserve"> małoletniego;</w:t>
      </w:r>
    </w:p>
    <w:p w:rsidR="00BF01EA" w:rsidRDefault="00EF4B63">
      <w:pPr>
        <w:pStyle w:val="Textbody"/>
        <w:numPr>
          <w:ilvl w:val="1"/>
          <w:numId w:val="6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datę stwierdzenia okoliczności, o których mowa w ust. 1; pkt 5, opis stwierdzonych okoliczności;</w:t>
      </w:r>
    </w:p>
    <w:p w:rsidR="00BF01EA" w:rsidRDefault="00EF4B63">
      <w:pPr>
        <w:pStyle w:val="Textbody"/>
        <w:numPr>
          <w:ilvl w:val="1"/>
          <w:numId w:val="6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datę sporządzenia informacji;</w:t>
      </w:r>
    </w:p>
    <w:p w:rsidR="00BF01EA" w:rsidRDefault="00EF4B63">
      <w:pPr>
        <w:pStyle w:val="Textbody"/>
        <w:numPr>
          <w:ilvl w:val="1"/>
          <w:numId w:val="6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wskazanie osoby, której udzielono informacji o okolicznościach, o których mowa w ust. 1.</w:t>
      </w:r>
    </w:p>
    <w:p w:rsidR="00BF01EA" w:rsidRDefault="00EF4B63">
      <w:pPr>
        <w:pStyle w:val="Textbody"/>
        <w:numPr>
          <w:ilvl w:val="0"/>
          <w:numId w:val="6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W przypadku, gdy okoliczn</w:t>
      </w:r>
      <w:r>
        <w:rPr>
          <w:rFonts w:ascii="Lato, sans-serif" w:hAnsi="Lato, sans-serif"/>
          <w:color w:val="000000"/>
          <w:sz w:val="27"/>
        </w:rPr>
        <w:t>ości, o których mowa w ust. 2, zostały stwierdzone w trakcie lub w związku z udzielaniem małoletniemu świadczeń zdrowotnych, osoba udzielająca świadczeń dokonuje stosownej wzmianki w dokumentacji medycznej małoletniego pacjenta.</w:t>
      </w:r>
    </w:p>
    <w:p w:rsidR="00BF01EA" w:rsidRDefault="00EF4B63">
      <w:pPr>
        <w:pStyle w:val="Textbody"/>
        <w:numPr>
          <w:ilvl w:val="0"/>
          <w:numId w:val="6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 xml:space="preserve">Na podstawie informacji, o </w:t>
      </w:r>
      <w:r>
        <w:rPr>
          <w:rFonts w:ascii="Lato, sans-serif" w:hAnsi="Lato, sans-serif"/>
          <w:color w:val="000000"/>
          <w:sz w:val="27"/>
        </w:rPr>
        <w:t>których mowa w ust. 2, prowadzący placówkę lub osoba go zastępująca dokonuje weryfikacji uzyskanych informacji w szczególności poprzez:</w:t>
      </w:r>
    </w:p>
    <w:p w:rsidR="00BF01EA" w:rsidRDefault="00EF4B63">
      <w:pPr>
        <w:pStyle w:val="Textbody"/>
        <w:numPr>
          <w:ilvl w:val="1"/>
          <w:numId w:val="6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rozmowę z personelem – jeżeli osobą o której mowa w ust. 2 jest osoba inna niż prowadzący placówkę;</w:t>
      </w:r>
    </w:p>
    <w:p w:rsidR="00BF01EA" w:rsidRDefault="00EF4B63">
      <w:pPr>
        <w:pStyle w:val="Textbody"/>
        <w:numPr>
          <w:ilvl w:val="1"/>
          <w:numId w:val="6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rozmowę z małoletnim</w:t>
      </w:r>
      <w:r>
        <w:rPr>
          <w:rFonts w:ascii="Lato, sans-serif" w:hAnsi="Lato, sans-serif"/>
          <w:color w:val="000000"/>
          <w:sz w:val="27"/>
        </w:rPr>
        <w:t xml:space="preserve"> – w miarę możliwości oraz z uwzględnieniem wieku i stopnia rozwoju małoletniego;</w:t>
      </w:r>
    </w:p>
    <w:p w:rsidR="00BF01EA" w:rsidRDefault="00EF4B63">
      <w:pPr>
        <w:pStyle w:val="Textbody"/>
        <w:numPr>
          <w:ilvl w:val="1"/>
          <w:numId w:val="6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rozmowę z rodzicami, przedstawicielami ustawowymi lub opiekunami;</w:t>
      </w:r>
    </w:p>
    <w:p w:rsidR="00BF01EA" w:rsidRDefault="00EF4B63">
      <w:pPr>
        <w:pStyle w:val="Textbody"/>
        <w:numPr>
          <w:ilvl w:val="1"/>
          <w:numId w:val="6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weryfikację dokumentacji, w przypadku gdy okoliczności, o których mowa w ust.1, zostały udokumentowane i zna</w:t>
      </w:r>
      <w:r>
        <w:rPr>
          <w:rFonts w:ascii="Lato, sans-serif" w:hAnsi="Lato, sans-serif"/>
          <w:color w:val="000000"/>
          <w:sz w:val="27"/>
        </w:rPr>
        <w:t>jdują się w dyspozycji prowadzącego placówkę;</w:t>
      </w:r>
    </w:p>
    <w:p w:rsidR="00BF01EA" w:rsidRDefault="00EF4B63">
      <w:pPr>
        <w:pStyle w:val="Textbody"/>
        <w:numPr>
          <w:ilvl w:val="1"/>
          <w:numId w:val="6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zasięgnięcie, w miarę możliwości, opinii psychologa, prawnika lub innych ekspertów – pod warunkiem zapewnienia poufności danych małoletniego oraz zobowiązania ww. osób do zachowania tajemnicy zawodowej.</w:t>
      </w:r>
    </w:p>
    <w:p w:rsidR="00BF01EA" w:rsidRDefault="00EF4B63">
      <w:pPr>
        <w:pStyle w:val="Textbody"/>
        <w:numPr>
          <w:ilvl w:val="0"/>
          <w:numId w:val="6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Po doko</w:t>
      </w:r>
      <w:r>
        <w:rPr>
          <w:rFonts w:ascii="Lato, sans-serif" w:hAnsi="Lato, sans-serif"/>
          <w:color w:val="000000"/>
          <w:sz w:val="27"/>
        </w:rPr>
        <w:t>nanej weryfikacji prowadzący placówkę podejmuje decyzję o ewentualnym zainicjowaniu postepowania (postępowań) formalnoprawnego, w szczególności złożenia zawiadomienia o podejrzeniu popełnienia przestępstwa lub zawiadomienia właściwego sądu opiekuńczego.</w:t>
      </w:r>
    </w:p>
    <w:p w:rsidR="00BF01EA" w:rsidRDefault="00EF4B63">
      <w:pPr>
        <w:pStyle w:val="Textbody"/>
        <w:numPr>
          <w:ilvl w:val="0"/>
          <w:numId w:val="6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 xml:space="preserve">W </w:t>
      </w:r>
      <w:r>
        <w:rPr>
          <w:rFonts w:ascii="Lato, sans-serif" w:hAnsi="Lato, sans-serif"/>
          <w:color w:val="000000"/>
          <w:sz w:val="27"/>
        </w:rPr>
        <w:t xml:space="preserve">przypadku podejrzenia, że osobą odpowiedzialną za wyrządzenie krzywdy Małoletniemu jest osoba z personelu placówki, prowadzący placówkę niezwłocznie, niezależnie od pozostałych czynności podejmowanych w celu wyjaśnienia okoliczności </w:t>
      </w:r>
      <w:r>
        <w:rPr>
          <w:rFonts w:ascii="Lato, sans-serif" w:hAnsi="Lato, sans-serif"/>
          <w:color w:val="000000"/>
          <w:sz w:val="27"/>
        </w:rPr>
        <w:lastRenderedPageBreak/>
        <w:t>sporawy, odsuwa tę osob</w:t>
      </w:r>
      <w:r>
        <w:rPr>
          <w:rFonts w:ascii="Lato, sans-serif" w:hAnsi="Lato, sans-serif"/>
          <w:color w:val="000000"/>
          <w:sz w:val="27"/>
        </w:rPr>
        <w:t>ę od procesu udzielania świadczeń zdrowotnych małoletniemu i zapewnia, by dana osoba nie pozostawała w kontakcie z małoletnim do czasu wyjaśnienia sprawy. W przypadku, o którym mowa w zdaniu poprzedzającym prowadzący placówkę wszczyna wewnętrzne postępowan</w:t>
      </w:r>
      <w:r>
        <w:rPr>
          <w:rFonts w:ascii="Lato, sans-serif" w:hAnsi="Lato, sans-serif"/>
          <w:color w:val="000000"/>
          <w:sz w:val="27"/>
        </w:rPr>
        <w:t>ie wyjaśniające w celu ustalenia podstaw i zakresu ewentualnej odpowiedzialności tej osoby oraz podjęcia dalszych działań prawnych wobec niej, niezależnie od czynności podejmowanych w celu ochrony małoletniego.</w:t>
      </w:r>
    </w:p>
    <w:p w:rsidR="00BF01EA" w:rsidRDefault="00EF4B63">
      <w:pPr>
        <w:pStyle w:val="Textbody"/>
        <w:numPr>
          <w:ilvl w:val="0"/>
          <w:numId w:val="6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Podejmując czynności, o których mowa w niniej</w:t>
      </w:r>
      <w:r>
        <w:rPr>
          <w:rFonts w:ascii="Lato, sans-serif" w:hAnsi="Lato, sans-serif"/>
          <w:color w:val="000000"/>
          <w:sz w:val="27"/>
        </w:rPr>
        <w:t>szej sekcji prowadzący placówkę zobowiązany jest zapewnić, by postępowanie sprawdzające prowadzone było w sposób nienaruszający prawnie chronionych dóbr małoletniego oraz innych osób, w tym w szczególności z zachowaniem bezpieczeństwa i poufności danych, a</w:t>
      </w:r>
      <w:r>
        <w:rPr>
          <w:rFonts w:ascii="Lato, sans-serif" w:hAnsi="Lato, sans-serif"/>
          <w:color w:val="000000"/>
          <w:sz w:val="27"/>
        </w:rPr>
        <w:t xml:space="preserve"> także zadbać, by dokonywane czynności w żaden sposób nie naruszały dobrostanu psychicznego małoletniego.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Nagwek3"/>
        <w:pBdr>
          <w:bottom w:val="single" w:sz="2" w:space="8" w:color="E5E5E5"/>
        </w:pBdr>
        <w:spacing w:before="240" w:after="240" w:line="264" w:lineRule="auto"/>
        <w:jc w:val="both"/>
        <w:rPr>
          <w:rFonts w:ascii="inherit" w:hAnsi="inherit" w:hint="eastAsia"/>
          <w:color w:val="000000"/>
          <w:sz w:val="30"/>
        </w:rPr>
      </w:pPr>
      <w:bookmarkStart w:id="6" w:name="_Toc174199208"/>
      <w:bookmarkEnd w:id="6"/>
      <w:r>
        <w:rPr>
          <w:rFonts w:ascii="inherit" w:hAnsi="inherit"/>
          <w:color w:val="000000"/>
          <w:sz w:val="30"/>
        </w:rPr>
        <w:t>Rozdział VI. Zasady postępowania i osoby odpowiedzialne za inicjowanie postępowań prawnych</w:t>
      </w:r>
    </w:p>
    <w:p w:rsidR="00BF01EA" w:rsidRDefault="00EF4B63">
      <w:pPr>
        <w:pStyle w:val="Textbody"/>
        <w:numPr>
          <w:ilvl w:val="0"/>
          <w:numId w:val="7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W przypadku podejrzenia, że okoliczności stwierdzone w tr</w:t>
      </w:r>
      <w:r>
        <w:rPr>
          <w:rFonts w:ascii="Lato, sans-serif" w:hAnsi="Lato, sans-serif"/>
          <w:color w:val="000000"/>
          <w:sz w:val="27"/>
        </w:rPr>
        <w:t>ybie określonym w Rozdziale V mogą stanowić przestępstwo na szkodę małoletniego, prowadzący placówkę zawiadamia o podejrzeniu popełnienia przestępstwa właściwą jednostkę organizacyjną prokuratury.</w:t>
      </w:r>
    </w:p>
    <w:p w:rsidR="00BF01EA" w:rsidRDefault="00EF4B63">
      <w:pPr>
        <w:pStyle w:val="Textbody"/>
        <w:numPr>
          <w:ilvl w:val="0"/>
          <w:numId w:val="7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W przypadku podejrzenia, że dobro małoletniego może być zag</w:t>
      </w:r>
      <w:r>
        <w:rPr>
          <w:rFonts w:ascii="Lato, sans-serif" w:hAnsi="Lato, sans-serif"/>
          <w:color w:val="000000"/>
          <w:sz w:val="27"/>
        </w:rPr>
        <w:t>rożone prowadzący placówkę zawiadamia o takiej okoliczności sąd opiekuńczy właściwy ze względu na miejsce zamieszkania małoletniego.</w:t>
      </w:r>
    </w:p>
    <w:p w:rsidR="00BF01EA" w:rsidRDefault="00EF4B63">
      <w:pPr>
        <w:pStyle w:val="Textbody"/>
        <w:numPr>
          <w:ilvl w:val="0"/>
          <w:numId w:val="7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Prowadzący placówkę jest odpowiedzialny za wszczęcie procedury Niebieskiej Karty.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Nagwek3"/>
        <w:pBdr>
          <w:bottom w:val="single" w:sz="2" w:space="8" w:color="E5E5E5"/>
        </w:pBdr>
        <w:spacing w:before="240" w:after="240" w:line="264" w:lineRule="auto"/>
        <w:jc w:val="both"/>
        <w:rPr>
          <w:rFonts w:ascii="inherit" w:hAnsi="inherit" w:hint="eastAsia"/>
          <w:color w:val="000000"/>
          <w:sz w:val="30"/>
        </w:rPr>
      </w:pPr>
      <w:bookmarkStart w:id="7" w:name="_Toc174199209"/>
      <w:bookmarkEnd w:id="7"/>
      <w:r>
        <w:rPr>
          <w:rFonts w:ascii="inherit" w:hAnsi="inherit"/>
          <w:color w:val="000000"/>
          <w:sz w:val="30"/>
        </w:rPr>
        <w:t>Rozdział VII. Zasady ustalania planu ws</w:t>
      </w:r>
      <w:r>
        <w:rPr>
          <w:rFonts w:ascii="inherit" w:hAnsi="inherit"/>
          <w:color w:val="000000"/>
          <w:sz w:val="30"/>
        </w:rPr>
        <w:t>parcia małoletniego po ujawnieniu krzywdzenia</w:t>
      </w:r>
    </w:p>
    <w:p w:rsidR="00BF01EA" w:rsidRDefault="00EF4B63">
      <w:pPr>
        <w:pStyle w:val="Textbody"/>
        <w:numPr>
          <w:ilvl w:val="0"/>
          <w:numId w:val="8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W przypadku ujawnienia krzywdzenia małoletniego zgodnie z postanowieniami Rozdziału V, prowadzący placówkę podejmuje działania w celu ustalenia planu wsparcia małoletniego.</w:t>
      </w:r>
    </w:p>
    <w:p w:rsidR="00BF01EA" w:rsidRDefault="00EF4B63">
      <w:pPr>
        <w:pStyle w:val="Textbody"/>
        <w:numPr>
          <w:ilvl w:val="0"/>
          <w:numId w:val="8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Ustalając plan wsparcia prowadzący pl</w:t>
      </w:r>
      <w:r>
        <w:rPr>
          <w:rFonts w:ascii="Lato, sans-serif" w:hAnsi="Lato, sans-serif"/>
          <w:color w:val="000000"/>
          <w:sz w:val="27"/>
        </w:rPr>
        <w:t>acówkę powinien uwzględniać przede wszystkim dobro małoletniego oraz uwzględniać jego wolę.</w:t>
      </w:r>
    </w:p>
    <w:p w:rsidR="00BF01EA" w:rsidRDefault="00EF4B63">
      <w:pPr>
        <w:pStyle w:val="Textbody"/>
        <w:numPr>
          <w:ilvl w:val="0"/>
          <w:numId w:val="8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lastRenderedPageBreak/>
        <w:t xml:space="preserve">Przy ustalaniu planu wsparcia małoletniego prowadzący placówkę może, w miarę możliwości, zasięgać opinii ekspertów, w tym psychologa lub lekarza psychiatry i </w:t>
      </w:r>
      <w:r>
        <w:rPr>
          <w:rFonts w:ascii="Lato, sans-serif" w:hAnsi="Lato, sans-serif"/>
          <w:color w:val="000000"/>
          <w:sz w:val="27"/>
        </w:rPr>
        <w:t>prawnika.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Nagwek3"/>
        <w:pBdr>
          <w:bottom w:val="single" w:sz="2" w:space="8" w:color="E5E5E5"/>
        </w:pBdr>
        <w:spacing w:before="240" w:after="240" w:line="264" w:lineRule="auto"/>
        <w:jc w:val="both"/>
        <w:rPr>
          <w:rFonts w:ascii="inherit" w:hAnsi="inherit" w:hint="eastAsia"/>
          <w:color w:val="000000"/>
          <w:sz w:val="30"/>
        </w:rPr>
      </w:pPr>
      <w:bookmarkStart w:id="8" w:name="_Toc174199210"/>
      <w:bookmarkEnd w:id="8"/>
      <w:r>
        <w:rPr>
          <w:rFonts w:ascii="inherit" w:hAnsi="inherit"/>
          <w:color w:val="000000"/>
          <w:sz w:val="30"/>
        </w:rPr>
        <w:t>Rozdział VIII. Zasady przeglądu i aktualizacji Standardów</w:t>
      </w:r>
    </w:p>
    <w:p w:rsidR="00BF01EA" w:rsidRDefault="00EF4B63">
      <w:pPr>
        <w:pStyle w:val="Textbody"/>
        <w:numPr>
          <w:ilvl w:val="0"/>
          <w:numId w:val="9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Prowadzący placówkę lub osoba przez niego upoważniona dokonuje przeglądu Standardów i oceny ich stosowania nie rzadziej niż raz na 2 lata w celu zapewnienia ich dostosowania do aktualnyc</w:t>
      </w:r>
      <w:r>
        <w:rPr>
          <w:rFonts w:ascii="Lato, sans-serif" w:hAnsi="Lato, sans-serif"/>
          <w:color w:val="000000"/>
          <w:sz w:val="27"/>
        </w:rPr>
        <w:t>h potrzeb oraz zgodności z obowiązującymi przepisami prawa. 2. W razie konieczności aktualizacji Standardów, prowadzący placówkę lub osoba przez niego upoważniona, zapoznaje personel placówki z treścią zaktualizowanych Standardów.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Nagwek3"/>
        <w:pBdr>
          <w:bottom w:val="single" w:sz="2" w:space="8" w:color="E5E5E5"/>
        </w:pBdr>
        <w:spacing w:before="240" w:after="240" w:line="264" w:lineRule="auto"/>
        <w:jc w:val="both"/>
        <w:rPr>
          <w:rFonts w:ascii="inherit" w:hAnsi="inherit" w:hint="eastAsia"/>
          <w:color w:val="000000"/>
          <w:sz w:val="30"/>
        </w:rPr>
      </w:pPr>
      <w:bookmarkStart w:id="9" w:name="_Toc174199211"/>
      <w:bookmarkEnd w:id="9"/>
      <w:r>
        <w:rPr>
          <w:rFonts w:ascii="inherit" w:hAnsi="inherit"/>
          <w:color w:val="000000"/>
          <w:sz w:val="30"/>
        </w:rPr>
        <w:t>Rozdział IX. Przygotowa</w:t>
      </w:r>
      <w:r>
        <w:rPr>
          <w:rFonts w:ascii="inherit" w:hAnsi="inherit"/>
          <w:color w:val="000000"/>
          <w:sz w:val="30"/>
        </w:rPr>
        <w:t>nie personelu do stosowania Standardów</w:t>
      </w:r>
    </w:p>
    <w:p w:rsidR="00BF01EA" w:rsidRDefault="00EF4B63">
      <w:pPr>
        <w:pStyle w:val="Textbody"/>
        <w:numPr>
          <w:ilvl w:val="0"/>
          <w:numId w:val="10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Prowadzący placówkę lub osoba przez niego upoważniona zapoznaje personel o treści Standardów niezwłocznie po ich ustaleniu.</w:t>
      </w:r>
    </w:p>
    <w:p w:rsidR="00BF01EA" w:rsidRDefault="00EF4B63">
      <w:pPr>
        <w:pStyle w:val="Textbody"/>
        <w:numPr>
          <w:ilvl w:val="0"/>
          <w:numId w:val="10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 xml:space="preserve">Każdy z członków personelu zobowiązany jest do zapoznania się z treścią Standardów oraz do </w:t>
      </w:r>
      <w:r>
        <w:rPr>
          <w:rFonts w:ascii="Lato, sans-serif" w:hAnsi="Lato, sans-serif"/>
          <w:color w:val="000000"/>
          <w:sz w:val="27"/>
        </w:rPr>
        <w:t>ich stosowania.</w:t>
      </w:r>
    </w:p>
    <w:p w:rsidR="00BF01EA" w:rsidRDefault="00EF4B63">
      <w:pPr>
        <w:pStyle w:val="Textbody"/>
        <w:numPr>
          <w:ilvl w:val="0"/>
          <w:numId w:val="10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Naruszenie Standardów stanowi ciężkie naruszenie obowiązków pracownika i może stanowić podstawę rozwiązania umowy o pracę lub umowy cywilnoprawnej.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Nagwek3"/>
        <w:pBdr>
          <w:bottom w:val="single" w:sz="2" w:space="8" w:color="E5E5E5"/>
        </w:pBdr>
        <w:spacing w:before="240" w:after="240" w:line="264" w:lineRule="auto"/>
        <w:jc w:val="both"/>
        <w:rPr>
          <w:rFonts w:ascii="inherit" w:hAnsi="inherit" w:hint="eastAsia"/>
          <w:color w:val="000000"/>
          <w:sz w:val="30"/>
        </w:rPr>
      </w:pPr>
      <w:bookmarkStart w:id="10" w:name="_Toc174199212"/>
      <w:bookmarkEnd w:id="10"/>
      <w:r>
        <w:rPr>
          <w:rFonts w:ascii="inherit" w:hAnsi="inherit"/>
          <w:color w:val="000000"/>
          <w:sz w:val="30"/>
        </w:rPr>
        <w:t>Rozdział X. Zasady i sposób udostępniania małoletnim oraz ich rodzicom albo opiekunom praw</w:t>
      </w:r>
      <w:r>
        <w:rPr>
          <w:rFonts w:ascii="inherit" w:hAnsi="inherit"/>
          <w:color w:val="000000"/>
          <w:sz w:val="30"/>
        </w:rPr>
        <w:t>nym lub faktycznym Standardów do zaznajomienia się z nimi i ich stosowania</w:t>
      </w:r>
    </w:p>
    <w:p w:rsidR="00BF01EA" w:rsidRDefault="00EF4B63">
      <w:pPr>
        <w:pStyle w:val="Textbody"/>
        <w:numPr>
          <w:ilvl w:val="0"/>
          <w:numId w:val="11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Prowadzący placówkę udostępnia Standardy małoletnim, opiekunom prawnym oraz opiekunom faktycznym do zaznajomienia się i ich stosowania poprzez umieszczenie w miejscu ogólnodostępnym</w:t>
      </w:r>
      <w:r>
        <w:rPr>
          <w:rFonts w:ascii="Lato, sans-serif" w:hAnsi="Lato, sans-serif"/>
          <w:color w:val="000000"/>
          <w:sz w:val="27"/>
        </w:rPr>
        <w:t xml:space="preserve"> w miejscu udzielania świadczeń zdrowotnych oraz na stronie internetowej placówki www.slusarczyk-dentysta.pl</w:t>
      </w:r>
    </w:p>
    <w:p w:rsidR="00BF01EA" w:rsidRDefault="00EF4B63">
      <w:pPr>
        <w:pStyle w:val="Textbody"/>
        <w:numPr>
          <w:ilvl w:val="0"/>
          <w:numId w:val="11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Wersja skrócona Standardów, przeznaczona dla małoletnich, stanowiąca Załącznik nr 3 do Standardów, udostępniana jest w sposób określony w ust. 1.</w:t>
      </w:r>
    </w:p>
    <w:p w:rsidR="00BF01EA" w:rsidRDefault="00EF4B63">
      <w:pPr>
        <w:pStyle w:val="Textbody"/>
        <w:numPr>
          <w:ilvl w:val="0"/>
          <w:numId w:val="11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W</w:t>
      </w:r>
      <w:r>
        <w:rPr>
          <w:rFonts w:ascii="Lato, sans-serif" w:hAnsi="Lato, sans-serif"/>
          <w:color w:val="000000"/>
          <w:sz w:val="27"/>
        </w:rPr>
        <w:t xml:space="preserve"> trakcie pierwszej wizyty w gabinecie stomatologicznym Patrycja Ślusarczyk – Indywidualna Praktyka Lekarska z siedzibą w Słopnicach 984  personel informuje </w:t>
      </w:r>
      <w:r>
        <w:rPr>
          <w:rFonts w:ascii="Lato, sans-serif" w:hAnsi="Lato, sans-serif"/>
          <w:color w:val="000000"/>
          <w:sz w:val="27"/>
        </w:rPr>
        <w:lastRenderedPageBreak/>
        <w:t>małoletniego, opiekuna prawnego lub opiekuna faktycznego o stosowaniu w placówce Standardów oraz o m</w:t>
      </w:r>
      <w:r>
        <w:rPr>
          <w:rFonts w:ascii="Lato, sans-serif" w:hAnsi="Lato, sans-serif"/>
          <w:color w:val="000000"/>
          <w:sz w:val="27"/>
        </w:rPr>
        <w:t>ożliwości zapoznania się z nimi w sposób określony w ust. 1.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Nagwek3"/>
        <w:pBdr>
          <w:bottom w:val="single" w:sz="2" w:space="8" w:color="E5E5E5"/>
        </w:pBdr>
        <w:spacing w:before="240" w:after="240" w:line="264" w:lineRule="auto"/>
        <w:jc w:val="both"/>
        <w:rPr>
          <w:rFonts w:ascii="inherit" w:hAnsi="inherit" w:hint="eastAsia"/>
          <w:color w:val="000000"/>
          <w:sz w:val="30"/>
        </w:rPr>
      </w:pPr>
      <w:bookmarkStart w:id="11" w:name="_Toc174199213"/>
      <w:bookmarkEnd w:id="11"/>
      <w:r>
        <w:rPr>
          <w:rFonts w:ascii="inherit" w:hAnsi="inherit"/>
          <w:color w:val="000000"/>
          <w:sz w:val="30"/>
        </w:rPr>
        <w:t>Rozdział XI. Przyjmowanie zgłoszeń o zdarzeniach zagrażających małoletniemu i udzielanie wsparcia małoletniemu. Sposób dokumentowania i zasady przechowywania ujawnionych lub zgłoszonych incyden</w:t>
      </w:r>
      <w:r>
        <w:rPr>
          <w:rFonts w:ascii="inherit" w:hAnsi="inherit"/>
          <w:color w:val="000000"/>
          <w:sz w:val="30"/>
        </w:rPr>
        <w:t>tów lub zdarzeń zagrażających dobru małoletniego</w:t>
      </w:r>
    </w:p>
    <w:p w:rsidR="00BF01EA" w:rsidRDefault="00EF4B63">
      <w:pPr>
        <w:pStyle w:val="Textbody"/>
        <w:numPr>
          <w:ilvl w:val="0"/>
          <w:numId w:val="12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 xml:space="preserve">Zgłoszenia o zdarzeniach zagrażających małoletniemu przyjmuje osoba udzielająca świadczeń zdrowotnych lub inny członek personelu gabinetu stomatologicznego Indywidualna Praktyka Lekarska lek.dent. Patrycja </w:t>
      </w:r>
      <w:r>
        <w:rPr>
          <w:rFonts w:ascii="Lato, sans-serif" w:hAnsi="Lato, sans-serif"/>
          <w:color w:val="000000"/>
          <w:sz w:val="27"/>
        </w:rPr>
        <w:t>Ślusarczyk</w:t>
      </w:r>
    </w:p>
    <w:p w:rsidR="00BF01EA" w:rsidRDefault="00EF4B63">
      <w:pPr>
        <w:pStyle w:val="Textbody"/>
        <w:numPr>
          <w:ilvl w:val="0"/>
          <w:numId w:val="12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Ujawnione lub zgłoszone incydenty lub zdarzenia zagrażające dobru małoletniego przechowywane są w siedzibie gabinetu stomatologicznego Indywidualna Praktyka Lekarska lek.dent. Patrycja Ślusarczyk</w:t>
      </w:r>
    </w:p>
    <w:p w:rsidR="00BF01EA" w:rsidRDefault="00EF4B63">
      <w:pPr>
        <w:pStyle w:val="Textbody"/>
        <w:numPr>
          <w:ilvl w:val="0"/>
          <w:numId w:val="12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W przypadku, gdy zdarzenia lub incydenty zagrażaj</w:t>
      </w:r>
      <w:r>
        <w:rPr>
          <w:rFonts w:ascii="Lato, sans-serif" w:hAnsi="Lato, sans-serif"/>
          <w:color w:val="000000"/>
          <w:sz w:val="27"/>
        </w:rPr>
        <w:t>ące dobru małoletniego dotyczą udzielanych świadczeń zdrowotnych lub pozostają w związku z ich udzielaniem albo mają istotne znaczenie dla przebiegu procesu diagnostycznego lub leczniczego, osoba udzielająca świadczeń zdrowotnych dokonuje stosownej wzmiank</w:t>
      </w:r>
      <w:r>
        <w:rPr>
          <w:rFonts w:ascii="Lato, sans-serif" w:hAnsi="Lato, sans-serif"/>
          <w:color w:val="000000"/>
          <w:sz w:val="27"/>
        </w:rPr>
        <w:t>i w dokumentacji medycznej małoletniego.</w:t>
      </w:r>
    </w:p>
    <w:p w:rsidR="00BF01EA" w:rsidRDefault="00EF4B63">
      <w:pPr>
        <w:pStyle w:val="Textbody"/>
        <w:numPr>
          <w:ilvl w:val="0"/>
          <w:numId w:val="12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Dokumentacja dotycząca ujawnionych lub zgłoszonych incydentów i zdarzeń zagrażających dobru małoletniego przechowywana jest przez okres 10 lat.</w:t>
      </w:r>
    </w:p>
    <w:p w:rsidR="00BF01EA" w:rsidRDefault="00EF4B63">
      <w:pPr>
        <w:pStyle w:val="Textbody"/>
        <w:numPr>
          <w:ilvl w:val="0"/>
          <w:numId w:val="12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W przypadku, o którym mowa w ust. 3 dokumentacja dołączana jest do doku</w:t>
      </w:r>
      <w:r>
        <w:rPr>
          <w:rFonts w:ascii="Lato, sans-serif" w:hAnsi="Lato, sans-serif"/>
          <w:color w:val="000000"/>
          <w:sz w:val="27"/>
        </w:rPr>
        <w:t>mentacji medycznej i przechowywana przez okres przechowywania dokumentacji medycznej.</w:t>
      </w:r>
    </w:p>
    <w:p w:rsidR="00BF01EA" w:rsidRDefault="00EF4B63">
      <w:pPr>
        <w:pStyle w:val="Textbody"/>
        <w:numPr>
          <w:ilvl w:val="0"/>
          <w:numId w:val="12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Po upływie okresu przechowywania, dokumentacja jest niszczona w sposób uniemożliwiający identyfikację osób, których dotyczy.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Nagwek3"/>
        <w:pBdr>
          <w:bottom w:val="single" w:sz="2" w:space="8" w:color="E5E5E5"/>
        </w:pBdr>
        <w:spacing w:before="240" w:after="240" w:line="264" w:lineRule="auto"/>
        <w:jc w:val="both"/>
        <w:rPr>
          <w:rFonts w:ascii="inherit" w:hAnsi="inherit" w:hint="eastAsia"/>
          <w:color w:val="000000"/>
          <w:sz w:val="30"/>
        </w:rPr>
      </w:pPr>
      <w:bookmarkStart w:id="12" w:name="_Toc174199214"/>
      <w:bookmarkEnd w:id="12"/>
      <w:r>
        <w:rPr>
          <w:rFonts w:ascii="inherit" w:hAnsi="inherit"/>
          <w:color w:val="000000"/>
          <w:sz w:val="30"/>
        </w:rPr>
        <w:t>Rozdział XII. Postanowienia końcowe</w:t>
      </w:r>
    </w:p>
    <w:p w:rsidR="00BF01EA" w:rsidRDefault="00EF4B63">
      <w:pPr>
        <w:pStyle w:val="Textbody"/>
        <w:numPr>
          <w:ilvl w:val="0"/>
          <w:numId w:val="13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Standar</w:t>
      </w:r>
      <w:r>
        <w:rPr>
          <w:rFonts w:ascii="Lato, sans-serif" w:hAnsi="Lato, sans-serif"/>
          <w:color w:val="000000"/>
          <w:sz w:val="27"/>
        </w:rPr>
        <w:t>dy wchodzą w życie z dniem 15 sierpnia 2024 r.</w:t>
      </w:r>
    </w:p>
    <w:p w:rsidR="00BF01EA" w:rsidRDefault="00EF4B63">
      <w:pPr>
        <w:pStyle w:val="Textbody"/>
        <w:numPr>
          <w:ilvl w:val="0"/>
          <w:numId w:val="13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Członkowie personelu zobowiązani są do zapoznania się ze Standardami i do ich stosowania.</w:t>
      </w:r>
    </w:p>
    <w:p w:rsidR="00BF01EA" w:rsidRDefault="00EF4B63">
      <w:pPr>
        <w:pStyle w:val="Textbody"/>
        <w:numPr>
          <w:ilvl w:val="0"/>
          <w:numId w:val="13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Wszelkie zmiany do Standardów wprowadza prowadzący placówkę. Postanowienia ust. 2 stosuje się odpowiednio.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> 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Nagwek3"/>
        <w:pBdr>
          <w:bottom w:val="single" w:sz="2" w:space="8" w:color="E5E5E5"/>
        </w:pBdr>
        <w:spacing w:before="240" w:after="240" w:line="264" w:lineRule="auto"/>
        <w:jc w:val="center"/>
        <w:rPr>
          <w:rFonts w:ascii="inherit" w:hAnsi="inherit" w:hint="eastAsia"/>
          <w:color w:val="000000"/>
          <w:sz w:val="30"/>
        </w:rPr>
      </w:pPr>
      <w:bookmarkStart w:id="13" w:name="_Toc174199215"/>
      <w:bookmarkEnd w:id="13"/>
      <w:r>
        <w:rPr>
          <w:rFonts w:ascii="inherit" w:hAnsi="inherit"/>
          <w:color w:val="000000"/>
          <w:sz w:val="30"/>
        </w:rPr>
        <w:t>Zał. n</w:t>
      </w:r>
      <w:r>
        <w:rPr>
          <w:rFonts w:ascii="inherit" w:hAnsi="inherit"/>
          <w:color w:val="000000"/>
          <w:sz w:val="30"/>
        </w:rPr>
        <w:t>r.1. Oświadczenie o zobowiązaniu do przestrzegania standardów ochrony dzieci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Textbody"/>
        <w:spacing w:after="15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Gabinet stomatologiczny Indywidualna Praktyka Lekarska</w:t>
      </w:r>
    </w:p>
    <w:p w:rsidR="00BF01EA" w:rsidRDefault="00EF4B63">
      <w:pPr>
        <w:pStyle w:val="Textbody"/>
        <w:spacing w:after="15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lek.dent. Patrycja Ślusarczyk</w:t>
      </w:r>
    </w:p>
    <w:p w:rsidR="00BF01EA" w:rsidRDefault="00EF4B63">
      <w:pPr>
        <w:pStyle w:val="Textbody"/>
        <w:spacing w:after="15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34-615 Słopnice 984</w:t>
      </w:r>
    </w:p>
    <w:p w:rsidR="00BF01EA" w:rsidRDefault="00EF4B63">
      <w:pPr>
        <w:pStyle w:val="Textbody"/>
        <w:spacing w:after="15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NIP 7372022390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Textbody"/>
        <w:spacing w:after="150"/>
        <w:jc w:val="center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 xml:space="preserve">Oświadczenie o zobowiązaniu do przestrzegania </w:t>
      </w:r>
      <w:r>
        <w:rPr>
          <w:rFonts w:ascii="Lato, sans-serif" w:hAnsi="Lato, sans-serif"/>
          <w:color w:val="000000"/>
          <w:sz w:val="27"/>
        </w:rPr>
        <w:t>standardów ochrony dzieci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Textbody"/>
        <w:spacing w:after="15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Ja, ................................................................................................................................</w:t>
      </w:r>
    </w:p>
    <w:p w:rsidR="00BF01EA" w:rsidRDefault="00EF4B63">
      <w:pPr>
        <w:pStyle w:val="Textbody"/>
        <w:spacing w:after="15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 xml:space="preserve">oświadczam, że zapoznałam/-em się ze standardami ochrony małoletnich obowiązującymi </w:t>
      </w:r>
      <w:r>
        <w:rPr>
          <w:rFonts w:ascii="Lato, sans-serif" w:hAnsi="Lato, sans-serif"/>
          <w:color w:val="000000"/>
          <w:sz w:val="27"/>
        </w:rPr>
        <w:t>w gabinecie stomatologicznym prowadzonym przez Patrycja Ślusarczyk działającego pod firmą Indywidualna Praktyka Lekarska lek.dent. Patrycja Ślusarczyk z siedzibą w Słopnicach 984 (kod 34-615) i zobowiązuję się do ich przestrzegania.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Textbody"/>
        <w:spacing w:after="150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br/>
      </w:r>
      <w:r>
        <w:rPr>
          <w:rFonts w:ascii="Lato, sans-serif" w:hAnsi="Lato, sans-serif"/>
          <w:color w:val="000000"/>
          <w:sz w:val="27"/>
        </w:rPr>
        <w:t>miejsce i data: </w:t>
      </w:r>
      <w:r>
        <w:rPr>
          <w:rFonts w:ascii="Lato, sans-serif" w:hAnsi="Lato, sans-serif"/>
          <w:color w:val="000000"/>
          <w:sz w:val="27"/>
        </w:rPr>
        <w:t xml:space="preserve">  </w:t>
      </w:r>
    </w:p>
    <w:p w:rsidR="00BF01EA" w:rsidRDefault="00EF4B63">
      <w:pPr>
        <w:pStyle w:val="Textbody"/>
        <w:spacing w:after="150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czytelny podpis: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Nagwek3"/>
        <w:pBdr>
          <w:bottom w:val="single" w:sz="2" w:space="8" w:color="E5E5E5"/>
        </w:pBdr>
        <w:spacing w:before="240" w:after="240" w:line="264" w:lineRule="auto"/>
        <w:jc w:val="center"/>
        <w:rPr>
          <w:rFonts w:ascii="inherit" w:hAnsi="inherit" w:hint="eastAsia"/>
          <w:color w:val="000000"/>
          <w:sz w:val="30"/>
        </w:rPr>
      </w:pPr>
      <w:bookmarkStart w:id="14" w:name="_Toc174199216"/>
      <w:bookmarkEnd w:id="14"/>
      <w:r>
        <w:rPr>
          <w:rFonts w:ascii="inherit" w:hAnsi="inherit"/>
          <w:color w:val="000000"/>
          <w:sz w:val="30"/>
        </w:rPr>
        <w:lastRenderedPageBreak/>
        <w:t>Załącznik nr 2 Lista instytucji, do których można skierować rodzica potrzebującego wsparcia dla siebie i dziecka</w:t>
      </w:r>
    </w:p>
    <w:p w:rsidR="00BF01EA" w:rsidRDefault="00EF4B63">
      <w:pPr>
        <w:pStyle w:val="Textbody"/>
        <w:spacing w:after="150"/>
        <w:jc w:val="both"/>
        <w:rPr>
          <w:rFonts w:hint="eastAsia"/>
        </w:rPr>
      </w:pPr>
      <w:r>
        <w:rPr>
          <w:rStyle w:val="StrongEmphasis"/>
          <w:rFonts w:ascii="Lato, sans-serif" w:hAnsi="Lato, sans-serif"/>
          <w:color w:val="000000"/>
          <w:sz w:val="27"/>
        </w:rPr>
        <w:t>Lokalne ośrodki pomocy społecznej </w:t>
      </w:r>
      <w:r>
        <w:rPr>
          <w:rFonts w:ascii="Lato, sans-serif" w:hAnsi="Lato, sans-serif"/>
          <w:color w:val="000000"/>
          <w:sz w:val="27"/>
        </w:rPr>
        <w:t>–</w:t>
      </w:r>
      <w:r>
        <w:rPr>
          <w:rStyle w:val="StrongEmphasis"/>
          <w:rFonts w:ascii="Lato, sans-serif" w:hAnsi="Lato, sans-serif"/>
          <w:b w:val="0"/>
          <w:color w:val="000000"/>
          <w:sz w:val="27"/>
        </w:rPr>
        <w:t> </w:t>
      </w:r>
      <w:r>
        <w:rPr>
          <w:rFonts w:ascii="Lato, sans-serif" w:hAnsi="Lato, sans-serif"/>
          <w:color w:val="000000"/>
          <w:sz w:val="27"/>
        </w:rPr>
        <w:t>oprócz wsparcia ekonomicznego, prawnego, mieszkaniowego, rzeczowego itd. wiele oś</w:t>
      </w:r>
      <w:r>
        <w:rPr>
          <w:rFonts w:ascii="Lato, sans-serif" w:hAnsi="Lato, sans-serif"/>
          <w:color w:val="000000"/>
          <w:sz w:val="27"/>
        </w:rPr>
        <w:t>rodków oferuje również warsztaty podnoszenia umiejętności wychowawczych, kursy kompetencji rodzicielskich czy zajęcia w ramach „Akademii rodziców”. W OPS-ie istnieje ponadto możliwość uzyskania pomocy asystenta rodziny (na wniosek rodziców), a także zawnio</w:t>
      </w:r>
      <w:r>
        <w:rPr>
          <w:rFonts w:ascii="Lato, sans-serif" w:hAnsi="Lato, sans-serif"/>
          <w:color w:val="000000"/>
          <w:sz w:val="27"/>
        </w:rPr>
        <w:t>skowania o asystenta osobistego osoby z niepełnosprawnością, jeśli rodzina posiada pod opieką dziecko z orzeczeniem o niepełnosprawności. Dla wielu rodzin możliwość uzyskania wsparcia asystenckiego jest tym, co ratuje dziecko i rodzinę przed trwałym kryzys</w:t>
      </w:r>
      <w:r>
        <w:rPr>
          <w:rFonts w:ascii="Lato, sans-serif" w:hAnsi="Lato, sans-serif"/>
          <w:color w:val="000000"/>
          <w:sz w:val="27"/>
        </w:rPr>
        <w:t>em! Pomoc OPS-u jest nieodpłatna. </w:t>
      </w:r>
    </w:p>
    <w:p w:rsidR="00BF01EA" w:rsidRDefault="00EF4B63">
      <w:pPr>
        <w:pStyle w:val="Textbody"/>
        <w:spacing w:after="150"/>
        <w:jc w:val="both"/>
        <w:rPr>
          <w:rFonts w:hint="eastAsia"/>
        </w:rPr>
      </w:pPr>
      <w:r>
        <w:rPr>
          <w:rStyle w:val="StrongEmphasis"/>
          <w:rFonts w:ascii="Lato, sans-serif" w:hAnsi="Lato, sans-serif"/>
          <w:color w:val="000000"/>
          <w:sz w:val="27"/>
        </w:rPr>
        <w:t>Ośrodki interwencji kryzysowej </w:t>
      </w:r>
      <w:r>
        <w:rPr>
          <w:rFonts w:ascii="Lato, sans-serif" w:hAnsi="Lato, sans-serif"/>
          <w:color w:val="000000"/>
          <w:sz w:val="27"/>
        </w:rPr>
        <w:t>–</w:t>
      </w:r>
      <w:r>
        <w:rPr>
          <w:rStyle w:val="StrongEmphasis"/>
          <w:rFonts w:ascii="Lato, sans-serif" w:hAnsi="Lato, sans-serif"/>
          <w:b w:val="0"/>
          <w:color w:val="000000"/>
          <w:sz w:val="27"/>
        </w:rPr>
        <w:t> </w:t>
      </w:r>
      <w:r>
        <w:rPr>
          <w:rFonts w:ascii="Lato, sans-serif" w:hAnsi="Lato, sans-serif"/>
          <w:color w:val="000000"/>
          <w:sz w:val="27"/>
        </w:rPr>
        <w:t>placówki prowadzone przez powiaty. Oferują pomoc osobom, które doświadczają trudnej sytuacji życiowej i braku równowagi psychicznej na skutek m.in.: śmierci bliskiej osoby, choroby własnej</w:t>
      </w:r>
      <w:r>
        <w:rPr>
          <w:rFonts w:ascii="Lato, sans-serif" w:hAnsi="Lato, sans-serif"/>
          <w:color w:val="000000"/>
          <w:sz w:val="27"/>
        </w:rPr>
        <w:t>, dziecka czy innej bliskiej osoby, rozwodu/rozstania, konfliktów w rodzinie, zagrożenia przemocą. W ośrodku prowadzone jest poradnictwo psychologiczne, interwencja kryzysowa, krótkoterminowa psychoterapia, organizowane są warsztaty i grupy wsparcia. Pomoc</w:t>
      </w:r>
      <w:r>
        <w:rPr>
          <w:rFonts w:ascii="Lato, sans-serif" w:hAnsi="Lato, sans-serif"/>
          <w:color w:val="000000"/>
          <w:sz w:val="27"/>
        </w:rPr>
        <w:t xml:space="preserve"> OIK-u jest nieodpłatna.   </w:t>
      </w:r>
    </w:p>
    <w:p w:rsidR="00BF01EA" w:rsidRDefault="00EF4B63">
      <w:pPr>
        <w:pStyle w:val="Textbody"/>
        <w:spacing w:after="150"/>
        <w:jc w:val="both"/>
        <w:rPr>
          <w:rFonts w:hint="eastAsia"/>
        </w:rPr>
      </w:pPr>
      <w:r>
        <w:rPr>
          <w:rStyle w:val="StrongEmphasis"/>
          <w:rFonts w:ascii="Lato, sans-serif" w:hAnsi="Lato, sans-serif"/>
          <w:color w:val="000000"/>
          <w:sz w:val="27"/>
        </w:rPr>
        <w:t>Poradnie psychologiczno-pedagogiczne </w:t>
      </w:r>
      <w:r>
        <w:rPr>
          <w:rFonts w:ascii="Lato, sans-serif" w:hAnsi="Lato, sans-serif"/>
          <w:color w:val="000000"/>
          <w:sz w:val="27"/>
        </w:rPr>
        <w:t>–</w:t>
      </w:r>
      <w:r>
        <w:rPr>
          <w:rStyle w:val="StrongEmphasis"/>
          <w:rFonts w:ascii="Lato, sans-serif" w:hAnsi="Lato, sans-serif"/>
          <w:b w:val="0"/>
          <w:color w:val="000000"/>
          <w:sz w:val="27"/>
        </w:rPr>
        <w:t> </w:t>
      </w:r>
      <w:r>
        <w:rPr>
          <w:rFonts w:ascii="Lato, sans-serif" w:hAnsi="Lato, sans-serif"/>
          <w:color w:val="000000"/>
          <w:sz w:val="27"/>
        </w:rPr>
        <w:t>świadczą pomoc diagnostyczną i konsultacyjną, organizują kursy psychoedukacyjne i podnoszące kompetencje rodzicielskie (np. szkoła dla rodziców, warsztaty pozytywnej dyscypliny, warsztaty d</w:t>
      </w:r>
      <w:r>
        <w:rPr>
          <w:rFonts w:ascii="Lato, sans-serif" w:hAnsi="Lato, sans-serif"/>
          <w:color w:val="000000"/>
          <w:sz w:val="27"/>
        </w:rPr>
        <w:t>la rodziców dzieci z ADHD). Pracują w nich zespoły orzecznicze, umożliwiające uzyskanie orzeczenia o potrzebie kształcenia specjalnego, wczesnego wspomagania rozwoju, indywidualnego toku nauczania itd. Pomoc PPP jest bezpłatna. </w:t>
      </w:r>
    </w:p>
    <w:p w:rsidR="00BF01EA" w:rsidRDefault="00EF4B63">
      <w:pPr>
        <w:pStyle w:val="Textbody"/>
        <w:spacing w:after="150"/>
        <w:jc w:val="both"/>
        <w:rPr>
          <w:rFonts w:hint="eastAsia"/>
        </w:rPr>
      </w:pPr>
      <w:r>
        <w:rPr>
          <w:rStyle w:val="StrongEmphasis"/>
          <w:rFonts w:ascii="Lato, sans-serif" w:hAnsi="Lato, sans-serif"/>
          <w:color w:val="000000"/>
          <w:sz w:val="27"/>
        </w:rPr>
        <w:t>Specjalistyczne poradnie ro</w:t>
      </w:r>
      <w:r>
        <w:rPr>
          <w:rStyle w:val="StrongEmphasis"/>
          <w:rFonts w:ascii="Lato, sans-serif" w:hAnsi="Lato, sans-serif"/>
          <w:color w:val="000000"/>
          <w:sz w:val="27"/>
        </w:rPr>
        <w:t>dzinne </w:t>
      </w:r>
      <w:r>
        <w:rPr>
          <w:rFonts w:ascii="Lato, sans-serif" w:hAnsi="Lato, sans-serif"/>
          <w:color w:val="000000"/>
          <w:sz w:val="27"/>
        </w:rPr>
        <w:t>– publiczne ośrodki świadczące pomoc psychologiczną i wsparcie dla par i rodzin. Udzielają konsultacji indywidualnych i rodzinnych, prowadzą psychoterapię dzieci i dorosłych, organizują warsztaty i grupy dla rodziców. Pomoc SPR jest bezpłatna.  </w:t>
      </w:r>
    </w:p>
    <w:p w:rsidR="00BF01EA" w:rsidRDefault="00EF4B63">
      <w:pPr>
        <w:pStyle w:val="Textbody"/>
        <w:spacing w:after="150"/>
        <w:jc w:val="both"/>
        <w:rPr>
          <w:rFonts w:hint="eastAsia"/>
        </w:rPr>
      </w:pPr>
      <w:r>
        <w:rPr>
          <w:rStyle w:val="StrongEmphasis"/>
          <w:rFonts w:ascii="Lato, sans-serif" w:hAnsi="Lato, sans-serif"/>
          <w:color w:val="000000"/>
          <w:sz w:val="27"/>
        </w:rPr>
        <w:t>Ośr</w:t>
      </w:r>
      <w:r>
        <w:rPr>
          <w:rStyle w:val="StrongEmphasis"/>
          <w:rFonts w:ascii="Lato, sans-serif" w:hAnsi="Lato, sans-serif"/>
          <w:color w:val="000000"/>
          <w:sz w:val="27"/>
        </w:rPr>
        <w:t>odki wczesnej interwencji </w:t>
      </w:r>
      <w:r>
        <w:rPr>
          <w:rFonts w:ascii="Lato, sans-serif" w:hAnsi="Lato, sans-serif"/>
          <w:color w:val="000000"/>
          <w:sz w:val="27"/>
        </w:rPr>
        <w:t>– oferują kompleksową, skoordynowaną, wielospecjalistyczną pomoc dzieciom do lat 7 oraz ich opiekunom (w zakresie opieki nad dzieckiem). OWI działają w ramach NFZ, potrzebne jest skierowanie od lekarza. W OWI dziecko może liczyć n</w:t>
      </w:r>
      <w:r>
        <w:rPr>
          <w:rFonts w:ascii="Lato, sans-serif" w:hAnsi="Lato, sans-serif"/>
          <w:color w:val="000000"/>
          <w:sz w:val="27"/>
        </w:rPr>
        <w:t>a m.in.: terapię wczesnego wspomagania rozwoju, fizjoterapię, zajęcia logopedyczne i inne. OWI oferują pomoc dzienną i bezpłatną. </w:t>
      </w:r>
    </w:p>
    <w:p w:rsidR="00BF01EA" w:rsidRDefault="00EF4B63">
      <w:pPr>
        <w:pStyle w:val="Textbody"/>
        <w:spacing w:after="150"/>
        <w:jc w:val="both"/>
        <w:rPr>
          <w:rFonts w:hint="eastAsia"/>
        </w:rPr>
      </w:pPr>
      <w:r>
        <w:rPr>
          <w:rStyle w:val="StrongEmphasis"/>
          <w:rFonts w:ascii="Lato, sans-serif" w:hAnsi="Lato, sans-serif"/>
          <w:color w:val="000000"/>
          <w:sz w:val="27"/>
        </w:rPr>
        <w:t>Ośrodki wsparcia dziennego</w:t>
      </w:r>
      <w:r>
        <w:rPr>
          <w:rFonts w:ascii="Lato, sans-serif" w:hAnsi="Lato, sans-serif"/>
          <w:color w:val="000000"/>
          <w:sz w:val="27"/>
        </w:rPr>
        <w:t> (dawniej „świetlice środowiskowe”) –</w:t>
      </w:r>
      <w:r>
        <w:rPr>
          <w:rStyle w:val="StrongEmphasis"/>
          <w:rFonts w:ascii="Lato, sans-serif" w:hAnsi="Lato, sans-serif"/>
          <w:b w:val="0"/>
          <w:color w:val="000000"/>
          <w:sz w:val="27"/>
        </w:rPr>
        <w:t> </w:t>
      </w:r>
      <w:r>
        <w:rPr>
          <w:rFonts w:ascii="Lato, sans-serif" w:hAnsi="Lato, sans-serif"/>
          <w:color w:val="000000"/>
          <w:sz w:val="27"/>
        </w:rPr>
        <w:t xml:space="preserve">pobyt dziecka w takim ośrodku trwa kilka godzin (głównie po </w:t>
      </w:r>
      <w:r>
        <w:rPr>
          <w:rFonts w:ascii="Lato, sans-serif" w:hAnsi="Lato, sans-serif"/>
          <w:color w:val="000000"/>
          <w:sz w:val="27"/>
        </w:rPr>
        <w:t xml:space="preserve">lekcjach), jest bezpłatny i dobrowolny, a oferta kierowana jest przede wszystkim do rodzin borykających się z trudnościami wychowawczo-opiekuńczymi, które wychowują dzieci w wieku szkolnym. W ośrodkach </w:t>
      </w:r>
      <w:r>
        <w:rPr>
          <w:rFonts w:ascii="Lato, sans-serif" w:hAnsi="Lato, sans-serif"/>
          <w:color w:val="000000"/>
          <w:sz w:val="27"/>
        </w:rPr>
        <w:lastRenderedPageBreak/>
        <w:t>wsparcia dziennego dzieci mogą otrzymać posiłek, pomoc</w:t>
      </w:r>
      <w:r>
        <w:rPr>
          <w:rFonts w:ascii="Lato, sans-serif" w:hAnsi="Lato, sans-serif"/>
          <w:color w:val="000000"/>
          <w:sz w:val="27"/>
        </w:rPr>
        <w:t xml:space="preserve"> w odrabianiu lekcji, uczestniczyć w zajęciach socjoterapeutycznych, kompensacyjnych i innych.  </w:t>
      </w:r>
    </w:p>
    <w:p w:rsidR="00BF01EA" w:rsidRDefault="00EF4B63">
      <w:pPr>
        <w:pStyle w:val="Textbody"/>
        <w:spacing w:after="150"/>
        <w:jc w:val="both"/>
        <w:rPr>
          <w:rFonts w:hint="eastAsia"/>
        </w:rPr>
      </w:pPr>
      <w:r>
        <w:rPr>
          <w:rStyle w:val="StrongEmphasis"/>
          <w:rFonts w:ascii="Lato, sans-serif" w:hAnsi="Lato, sans-serif"/>
          <w:color w:val="000000"/>
          <w:sz w:val="27"/>
        </w:rPr>
        <w:t>Środowiskowe centra zdrowia psychicznego dla dorosłych oraz środowiskowe centra zdrowia psychicznego dla dzieci i młodzieży</w:t>
      </w:r>
      <w:r>
        <w:rPr>
          <w:rFonts w:ascii="Lato, sans-serif" w:hAnsi="Lato, sans-serif"/>
          <w:color w:val="000000"/>
          <w:sz w:val="27"/>
        </w:rPr>
        <w:t xml:space="preserve"> – oferują wsparcie dla dzieci oraz </w:t>
      </w:r>
      <w:r>
        <w:rPr>
          <w:rFonts w:ascii="Lato, sans-serif" w:hAnsi="Lato, sans-serif"/>
          <w:color w:val="000000"/>
          <w:sz w:val="27"/>
        </w:rPr>
        <w:t>rodziców doświadczających kryzysu psychicznego i trudności rodzicielskich w formie indywidualnej, grup terapeutycznych i warsztatów. Centra działają w ramach NFZ.  </w:t>
      </w:r>
    </w:p>
    <w:p w:rsidR="00BF01EA" w:rsidRDefault="00EF4B63">
      <w:pPr>
        <w:pStyle w:val="Textbody"/>
        <w:spacing w:after="150"/>
        <w:jc w:val="both"/>
        <w:rPr>
          <w:rFonts w:hint="eastAsia"/>
        </w:rPr>
      </w:pPr>
      <w:r>
        <w:rPr>
          <w:rStyle w:val="StrongEmphasis"/>
          <w:rFonts w:ascii="Lato, sans-serif" w:hAnsi="Lato, sans-serif"/>
          <w:color w:val="000000"/>
          <w:sz w:val="27"/>
        </w:rPr>
        <w:t>Centra pomocy dzieciom</w:t>
      </w:r>
      <w:r>
        <w:rPr>
          <w:rFonts w:ascii="Lato, sans-serif" w:hAnsi="Lato, sans-serif"/>
          <w:color w:val="000000"/>
          <w:sz w:val="27"/>
        </w:rPr>
        <w:t> – są to miejsca, w których dzieci pokrzywdzone przestępstwem oraz ic</w:t>
      </w:r>
      <w:r>
        <w:rPr>
          <w:rFonts w:ascii="Lato, sans-serif" w:hAnsi="Lato, sans-serif"/>
          <w:color w:val="000000"/>
          <w:sz w:val="27"/>
        </w:rPr>
        <w:t>h opiekunowie otrzymują pod jednym dachem kompleksową i interdyscyplinarną pomoc. Oznacza to, że sprawę dziecka, które trafi pod opiekę centrum, prowadzi od początku do końca grupa tych samych profesjonalistów. Na spotkaniach zespołu interdyscyplinarnego w</w:t>
      </w:r>
      <w:r>
        <w:rPr>
          <w:rFonts w:ascii="Lato, sans-serif" w:hAnsi="Lato, sans-serif"/>
          <w:color w:val="000000"/>
          <w:sz w:val="27"/>
        </w:rPr>
        <w:t>spólnie podejmują decyzję, jakiego rodzaju wsparcia potrzebuje dziecko i jego opiekunowie. Strategię pomocy realizują − na ile jest to możliwe – pracownicy placówki: psycholodzy, lekarze, pracownik socjalny. Odbywa się tu również przesłuchanie sądowe dziec</w:t>
      </w:r>
      <w:r>
        <w:rPr>
          <w:rFonts w:ascii="Lato, sans-serif" w:hAnsi="Lato, sans-serif"/>
          <w:color w:val="000000"/>
          <w:sz w:val="27"/>
        </w:rPr>
        <w:t>ka, jeśli jest to potrzebne. Mapę tych miejsc znajdziesz na stronie: https://centrapomocydzieciom.fdds.pl/. </w:t>
      </w:r>
    </w:p>
    <w:p w:rsidR="00BF01EA" w:rsidRDefault="00EF4B63">
      <w:pPr>
        <w:pStyle w:val="Textbody"/>
        <w:spacing w:after="150"/>
        <w:jc w:val="both"/>
        <w:rPr>
          <w:rFonts w:hint="eastAsia"/>
        </w:rPr>
      </w:pPr>
      <w:r>
        <w:rPr>
          <w:rStyle w:val="StrongEmphasis"/>
          <w:rFonts w:ascii="Lato, sans-serif" w:hAnsi="Lato, sans-serif"/>
          <w:color w:val="000000"/>
          <w:sz w:val="27"/>
        </w:rPr>
        <w:t>Ogólnopolskie i lokalne organizacje pozarządowe zajmujące się wspieraniem rodziców i dzieci.</w:t>
      </w:r>
      <w:r>
        <w:rPr>
          <w:rFonts w:ascii="Lato, sans-serif" w:hAnsi="Lato, sans-serif"/>
          <w:color w:val="000000"/>
          <w:sz w:val="27"/>
        </w:rPr>
        <w:t> Warto zachęcić rodziców, aby sprawdzili i poszukali of</w:t>
      </w:r>
      <w:r>
        <w:rPr>
          <w:rFonts w:ascii="Lato, sans-serif" w:hAnsi="Lato, sans-serif"/>
          <w:color w:val="000000"/>
          <w:sz w:val="27"/>
        </w:rPr>
        <w:t>erty dla siebie. Wśród dostępnych możliwości są między innymi: grupy wsparcia (dla rodziców małych dzieci, dla rodziców w żałobie, dla rodziców dzieci z niepełnosprawnością itd.), konsultacje i terapie psychologiczne, warsztaty i zajęcia psychoedukacyjne d</w:t>
      </w:r>
      <w:r>
        <w:rPr>
          <w:rFonts w:ascii="Lato, sans-serif" w:hAnsi="Lato, sans-serif"/>
          <w:color w:val="000000"/>
          <w:sz w:val="27"/>
        </w:rPr>
        <w:t>la rodziców, warsztaty dla dzieci, punkty przedszkolne i wiele innych. Szereg organizacji oferuje wsparcie bezpłatnie. 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Nagwek3"/>
        <w:pBdr>
          <w:bottom w:val="single" w:sz="2" w:space="8" w:color="E5E5E5"/>
        </w:pBdr>
        <w:spacing w:before="240" w:after="240" w:line="264" w:lineRule="auto"/>
        <w:jc w:val="center"/>
        <w:rPr>
          <w:rFonts w:ascii="inherit" w:hAnsi="inherit" w:hint="eastAsia"/>
          <w:color w:val="000000"/>
          <w:sz w:val="30"/>
        </w:rPr>
      </w:pPr>
      <w:bookmarkStart w:id="15" w:name="_Toc174199217"/>
      <w:bookmarkEnd w:id="15"/>
      <w:r>
        <w:rPr>
          <w:rFonts w:ascii="inherit" w:hAnsi="inherit"/>
          <w:color w:val="000000"/>
          <w:sz w:val="30"/>
        </w:rPr>
        <w:t>Zał. 3 Standardy ochrony dzieci – skrócona wersja dla małoletnich</w:t>
      </w:r>
    </w:p>
    <w:p w:rsidR="00BF01EA" w:rsidRDefault="00EF4B63">
      <w:pPr>
        <w:pStyle w:val="Textbody"/>
        <w:spacing w:after="15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BF01EA" w:rsidRDefault="00EF4B63">
      <w:pPr>
        <w:pStyle w:val="Textbody"/>
        <w:numPr>
          <w:ilvl w:val="0"/>
          <w:numId w:val="14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Nazywam się Patrycja Ślusarczyk</w:t>
      </w:r>
      <w:r>
        <w:rPr>
          <w:rFonts w:ascii="Lato, sans-serif" w:hAnsi="Lato, sans-serif"/>
          <w:color w:val="000000"/>
          <w:sz w:val="27"/>
        </w:rPr>
        <w:t xml:space="preserve"> i jestem lekarzem dentystą. Prowadzę gabinet stomatologiczny Indywidualna Praktyka Lekarska lek.dent. Patrycja Ślusarczyk. Chcę byś czuł się u nas dobrze i bezpiecznie.</w:t>
      </w:r>
    </w:p>
    <w:p w:rsidR="00BF01EA" w:rsidRDefault="00EF4B63">
      <w:pPr>
        <w:pStyle w:val="Textbody"/>
        <w:numPr>
          <w:ilvl w:val="0"/>
          <w:numId w:val="14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Jeżeli cokolwiek Ci się nie podobało lub poczułeś się źle, możesz przekazać to lekarzo</w:t>
      </w:r>
      <w:r>
        <w:rPr>
          <w:rFonts w:ascii="Lato, sans-serif" w:hAnsi="Lato, sans-serif"/>
          <w:color w:val="000000"/>
          <w:sz w:val="27"/>
        </w:rPr>
        <w:t>wi Patrycja Ślusarczyk, zgłosić to pod numerem telefonu: 691 499 214 lub napisać na adres patiwika@interia.pl</w:t>
      </w:r>
    </w:p>
    <w:p w:rsidR="00BF01EA" w:rsidRDefault="00EF4B63">
      <w:pPr>
        <w:pStyle w:val="Textbody"/>
        <w:numPr>
          <w:ilvl w:val="0"/>
          <w:numId w:val="14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Do naszego gabinetu możesz przyjść z mamą, tatą lub inną osobą, która się Tobą opiekuje – te osoby mogą być zawsze przy Tobie, nawet podczas lecze</w:t>
      </w:r>
      <w:r>
        <w:rPr>
          <w:rFonts w:ascii="Lato, sans-serif" w:hAnsi="Lato, sans-serif"/>
          <w:color w:val="000000"/>
          <w:sz w:val="27"/>
        </w:rPr>
        <w:t>nia.</w:t>
      </w:r>
    </w:p>
    <w:p w:rsidR="00BF01EA" w:rsidRDefault="00EF4B63">
      <w:pPr>
        <w:pStyle w:val="Textbody"/>
        <w:numPr>
          <w:ilvl w:val="0"/>
          <w:numId w:val="14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lastRenderedPageBreak/>
        <w:t>Osoba, która będzie przeprowadzała badanie lub zabieg, wytłumaczy Ci przed tym badaniem lub zabiegiem co będzie robić i dlaczego.</w:t>
      </w:r>
    </w:p>
    <w:p w:rsidR="00BF01EA" w:rsidRDefault="00EF4B63">
      <w:pPr>
        <w:pStyle w:val="Textbody"/>
        <w:numPr>
          <w:ilvl w:val="0"/>
          <w:numId w:val="14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Osoba, która będzie przeprowadza badanie lub zabieg jest tu po to, by Ci pomóc – możesz jej powiedzieć wszystko.</w:t>
      </w:r>
    </w:p>
    <w:p w:rsidR="00BF01EA" w:rsidRDefault="00EF4B63">
      <w:pPr>
        <w:pStyle w:val="Textbody"/>
        <w:numPr>
          <w:ilvl w:val="0"/>
          <w:numId w:val="14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Wiedza o</w:t>
      </w:r>
      <w:r>
        <w:rPr>
          <w:rFonts w:ascii="Lato, sans-serif" w:hAnsi="Lato, sans-serif"/>
          <w:color w:val="000000"/>
          <w:sz w:val="27"/>
        </w:rPr>
        <w:t xml:space="preserve"> tym, co Ci dolega, czego się obawiasz lub wstydzisz może być bardzo ważna. Dzięki tej wiedzy będziemy mogli Ci pomóc jak najlepiej.</w:t>
      </w:r>
    </w:p>
    <w:p w:rsidR="00BF01EA" w:rsidRDefault="00EF4B63">
      <w:pPr>
        <w:pStyle w:val="Textbody"/>
        <w:numPr>
          <w:ilvl w:val="0"/>
          <w:numId w:val="14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Lekarzom, higienistkom, asystentkom i wszystkim innym osobom z naszego gabinetu stomatologicznego możesz zadawać pytania. C</w:t>
      </w:r>
      <w:r>
        <w:rPr>
          <w:rFonts w:ascii="Lato, sans-serif" w:hAnsi="Lato, sans-serif"/>
          <w:color w:val="000000"/>
          <w:sz w:val="27"/>
        </w:rPr>
        <w:t>hętnie na nie odpowiedzą.</w:t>
      </w:r>
    </w:p>
    <w:p w:rsidR="00BF01EA" w:rsidRDefault="00EF4B63">
      <w:pPr>
        <w:pStyle w:val="Textbody"/>
        <w:numPr>
          <w:ilvl w:val="0"/>
          <w:numId w:val="14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Nikt nie może na Ciebie krzyczeć, wyśmiewać się z Ciebie, dotykać Cię bez Twojej zgody ani fotografować.</w:t>
      </w:r>
    </w:p>
    <w:p w:rsidR="00BF01EA" w:rsidRDefault="00EF4B63">
      <w:pPr>
        <w:pStyle w:val="Textbody"/>
        <w:numPr>
          <w:ilvl w:val="0"/>
          <w:numId w:val="14"/>
        </w:numPr>
        <w:spacing w:after="15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Cokolwiek się w Twoim życiu dzieje, nie jesteś sam. To są całodobowe numery telefonów do osób, którym możesz zaufać:</w:t>
      </w:r>
    </w:p>
    <w:p w:rsidR="00BF01EA" w:rsidRDefault="00EF4B63">
      <w:pPr>
        <w:pStyle w:val="Textbody"/>
        <w:numPr>
          <w:ilvl w:val="1"/>
          <w:numId w:val="14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Ogólnopo</w:t>
      </w:r>
      <w:r>
        <w:rPr>
          <w:rFonts w:ascii="Lato, sans-serif" w:hAnsi="Lato, sans-serif"/>
          <w:color w:val="000000"/>
          <w:sz w:val="27"/>
        </w:rPr>
        <w:t>lskie Pogotowie dla Ofiar Przemocy w Rodzinie „Niebieska Linia”: 800 120 002;</w:t>
      </w:r>
    </w:p>
    <w:p w:rsidR="00BF01EA" w:rsidRDefault="00EF4B63">
      <w:pPr>
        <w:pStyle w:val="Textbody"/>
        <w:numPr>
          <w:ilvl w:val="1"/>
          <w:numId w:val="14"/>
        </w:numPr>
        <w:spacing w:after="0"/>
        <w:ind w:left="0" w:firstLine="0"/>
        <w:jc w:val="both"/>
        <w:rPr>
          <w:rFonts w:ascii="Lato, sans-serif" w:hAnsi="Lato, sans-serif" w:hint="eastAsia"/>
          <w:color w:val="000000"/>
          <w:sz w:val="27"/>
        </w:rPr>
      </w:pPr>
      <w:r>
        <w:rPr>
          <w:rFonts w:ascii="Lato, sans-serif" w:hAnsi="Lato, sans-serif"/>
          <w:color w:val="000000"/>
          <w:sz w:val="27"/>
        </w:rPr>
        <w:t>Telefon Zaufania Dla Dzieci i Młodzieży: 116 111.</w:t>
      </w:r>
    </w:p>
    <w:p w:rsidR="00BF01EA" w:rsidRDefault="00BF01EA">
      <w:pPr>
        <w:pStyle w:val="Standard"/>
        <w:rPr>
          <w:rFonts w:hint="eastAsia"/>
          <w:color w:val="000000"/>
        </w:rPr>
      </w:pPr>
    </w:p>
    <w:sectPr w:rsidR="00BF01E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B63" w:rsidRDefault="00EF4B63">
      <w:pPr>
        <w:rPr>
          <w:rFonts w:hint="eastAsia"/>
        </w:rPr>
      </w:pPr>
      <w:r>
        <w:separator/>
      </w:r>
    </w:p>
  </w:endnote>
  <w:endnote w:type="continuationSeparator" w:id="0">
    <w:p w:rsidR="00EF4B63" w:rsidRDefault="00EF4B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o, sans-serif">
    <w:altName w:val="Times New Roman"/>
    <w:charset w:val="00"/>
    <w:family w:val="auto"/>
    <w:pitch w:val="default"/>
  </w:font>
  <w:font w:name="inheri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B63" w:rsidRDefault="00EF4B6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F4B63" w:rsidRDefault="00EF4B6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6C2"/>
    <w:multiLevelType w:val="multilevel"/>
    <w:tmpl w:val="9A4A9D46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>
    <w:nsid w:val="0A4A6DE7"/>
    <w:multiLevelType w:val="multilevel"/>
    <w:tmpl w:val="04D8568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>
    <w:nsid w:val="0DC501CD"/>
    <w:multiLevelType w:val="multilevel"/>
    <w:tmpl w:val="68226448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3">
    <w:nsid w:val="21236FED"/>
    <w:multiLevelType w:val="multilevel"/>
    <w:tmpl w:val="288E4DEA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4">
    <w:nsid w:val="2E9B1DF8"/>
    <w:multiLevelType w:val="multilevel"/>
    <w:tmpl w:val="C71E6A12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5">
    <w:nsid w:val="3FAB4AC1"/>
    <w:multiLevelType w:val="multilevel"/>
    <w:tmpl w:val="001CA584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6">
    <w:nsid w:val="417142AB"/>
    <w:multiLevelType w:val="multilevel"/>
    <w:tmpl w:val="D700D318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7">
    <w:nsid w:val="46C47FBF"/>
    <w:multiLevelType w:val="multilevel"/>
    <w:tmpl w:val="23248C36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8">
    <w:nsid w:val="488676A2"/>
    <w:multiLevelType w:val="multilevel"/>
    <w:tmpl w:val="0C4C2D98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9">
    <w:nsid w:val="49E63783"/>
    <w:multiLevelType w:val="multilevel"/>
    <w:tmpl w:val="B9EC0C4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0">
    <w:nsid w:val="49F508C9"/>
    <w:multiLevelType w:val="multilevel"/>
    <w:tmpl w:val="83CA6B72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1">
    <w:nsid w:val="5F626FF4"/>
    <w:multiLevelType w:val="multilevel"/>
    <w:tmpl w:val="7FFC6FE2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2">
    <w:nsid w:val="655A01F1"/>
    <w:multiLevelType w:val="multilevel"/>
    <w:tmpl w:val="52E2439A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3">
    <w:nsid w:val="69DD0FB1"/>
    <w:multiLevelType w:val="multilevel"/>
    <w:tmpl w:val="4F106F72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13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F01EA"/>
    <w:rsid w:val="0008514A"/>
    <w:rsid w:val="00BF01EA"/>
    <w:rsid w:val="00E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4000</Words>
  <Characters>24002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tomek.perelka@poczta.onet.pl</cp:lastModifiedBy>
  <cp:revision>1</cp:revision>
  <dcterms:created xsi:type="dcterms:W3CDTF">2024-12-10T08:58:00Z</dcterms:created>
  <dcterms:modified xsi:type="dcterms:W3CDTF">2025-04-30T10:02:00Z</dcterms:modified>
</cp:coreProperties>
</file>